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412" w:lineRule="exact"/>
        <w:ind w:left="3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"/>
          <w:sz w:val="20"/>
          <w:szCs w:val="20"/>
        </w:rPr>
        <w:pict>
          <v:group style="width:414.15pt;height:20.65pt;mso-position-horizontal-relative:char;mso-position-vertical-relative:line" coordorigin="0,0" coordsize="8283,413">
            <v:shape style="position:absolute;left:0;top:0;width:7203;height:413" type="#_x0000_t75" stroked="false">
              <v:imagedata r:id="rId5" o:title=""/>
            </v:shape>
            <v:shape style="position:absolute;left:6843;top:0;width:1081;height:413" type="#_x0000_t75" stroked="false">
              <v:imagedata r:id="rId6" o:title=""/>
            </v:shape>
            <v:shape style="position:absolute;left:7563;top:0;width:720;height:413" type="#_x0000_t75" stroked="false">
              <v:imagedata r:id="rId7" o:title=""/>
            </v:shape>
          </v:group>
        </w:pict>
      </w:r>
      <w:r>
        <w:rPr>
          <w:rFonts w:ascii="Times New Roman" w:hAnsi="Times New Roman" w:cs="Times New Roman" w:eastAsia="Times New Roman"/>
          <w:position w:val="-7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57" w:lineRule="auto" w:before="2"/>
        <w:ind w:left="3434" w:right="1441" w:hanging="1561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  <w:spacing w:val="-2"/>
        </w:rPr>
        <w:t>国家药品监督管理局药品审评中心</w:t>
      </w:r>
      <w:r>
        <w:rPr>
          <w:rFonts w:ascii="宋体" w:hAnsi="宋体" w:cs="宋体" w:eastAsia="宋体"/>
          <w:spacing w:val="-127"/>
        </w:rPr>
        <w:t> </w:t>
      </w:r>
      <w:r>
        <w:rPr>
          <w:rFonts w:ascii="宋体" w:hAnsi="宋体" w:cs="宋体" w:eastAsia="宋体"/>
          <w:spacing w:val="-127"/>
        </w:rPr>
      </w:r>
      <w:r>
        <w:rPr>
          <w:rFonts w:ascii="宋体" w:hAnsi="宋体" w:cs="宋体" w:eastAsia="宋体"/>
        </w:rPr>
        <w:t>2025</w:t>
      </w:r>
      <w:r>
        <w:rPr>
          <w:rFonts w:ascii="宋体" w:hAnsi="宋体" w:cs="宋体" w:eastAsia="宋体"/>
          <w:spacing w:val="-81"/>
        </w:rPr>
        <w:t> </w:t>
      </w:r>
      <w:r>
        <w:rPr>
          <w:rFonts w:ascii="宋体" w:hAnsi="宋体" w:cs="宋体" w:eastAsia="宋体"/>
        </w:rPr>
        <w:t>年</w:t>
      </w:r>
      <w:r>
        <w:rPr>
          <w:rFonts w:ascii="宋体" w:hAnsi="宋体" w:cs="宋体" w:eastAsia="宋体"/>
          <w:spacing w:val="-79"/>
        </w:rPr>
        <w:t> </w:t>
      </w:r>
      <w:r>
        <w:rPr>
          <w:rFonts w:ascii="宋体" w:hAnsi="宋体" w:cs="宋体" w:eastAsia="宋体"/>
        </w:rPr>
        <w:t>7</w:t>
      </w:r>
      <w:r>
        <w:rPr>
          <w:rFonts w:ascii="宋体" w:hAnsi="宋体" w:cs="宋体" w:eastAsia="宋体"/>
          <w:spacing w:val="-81"/>
        </w:rPr>
        <w:t> </w:t>
      </w:r>
      <w:r>
        <w:rPr>
          <w:rFonts w:ascii="宋体" w:hAnsi="宋体" w:cs="宋体" w:eastAsia="宋体"/>
        </w:rPr>
        <w:t>月</w:t>
      </w:r>
    </w:p>
    <w:p>
      <w:pPr>
        <w:spacing w:after="0" w:line="357" w:lineRule="auto"/>
        <w:jc w:val="left"/>
        <w:rPr>
          <w:rFonts w:ascii="宋体" w:hAnsi="宋体" w:cs="宋体" w:eastAsia="宋体"/>
        </w:rPr>
        <w:sectPr>
          <w:type w:val="continuous"/>
          <w:pgSz w:w="11910" w:h="16840"/>
          <w:pgMar w:top="1580" w:bottom="280" w:left="1680" w:right="1520"/>
        </w:sectPr>
      </w:pPr>
    </w:p>
    <w:p>
      <w:pPr>
        <w:spacing w:line="240" w:lineRule="auto" w:before="9"/>
        <w:rPr>
          <w:rFonts w:ascii="宋体" w:hAnsi="宋体" w:cs="宋体" w:eastAsia="宋体"/>
          <w:sz w:val="6"/>
          <w:szCs w:val="6"/>
        </w:rPr>
      </w:pPr>
    </w:p>
    <w:p>
      <w:pPr>
        <w:spacing w:line="412" w:lineRule="exact"/>
        <w:ind w:left="373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7"/>
          <w:sz w:val="20"/>
          <w:szCs w:val="20"/>
        </w:rPr>
        <w:drawing>
          <wp:inline distT="0" distB="0" distL="0" distR="0">
            <wp:extent cx="911351" cy="262127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7"/>
          <w:sz w:val="20"/>
          <w:szCs w:val="20"/>
        </w:rPr>
      </w:r>
    </w:p>
    <w:p>
      <w:pPr>
        <w:spacing w:line="240" w:lineRule="auto" w:before="1"/>
        <w:rPr>
          <w:rFonts w:ascii="宋体" w:hAnsi="宋体" w:cs="宋体" w:eastAsia="宋体"/>
          <w:sz w:val="12"/>
          <w:szCs w:val="12"/>
        </w:rPr>
      </w:pPr>
    </w:p>
    <w:p>
      <w:pPr>
        <w:pStyle w:val="BodyText"/>
        <w:tabs>
          <w:tab w:pos="8421" w:val="right" w:leader="dot"/>
        </w:tabs>
        <w:spacing w:line="240" w:lineRule="auto" w:before="2"/>
        <w:ind w:right="0"/>
        <w:jc w:val="left"/>
        <w:rPr>
          <w:rFonts w:ascii="宋体" w:hAnsi="宋体" w:cs="宋体" w:eastAsia="宋体"/>
        </w:rPr>
      </w:pPr>
      <w:hyperlink w:history="true" w:anchor="_bookmark0">
        <w:r>
          <w:rPr>
            <w:rFonts w:ascii="宋体" w:hAnsi="宋体" w:cs="宋体" w:eastAsia="宋体"/>
          </w:rPr>
          <w:t>一、概述</w:t>
        </w:r>
        <w:r>
          <w:rPr>
            <w:rFonts w:ascii="宋体" w:hAnsi="宋体" w:cs="宋体" w:eastAsia="宋体"/>
          </w:rPr>
          <w:tab/>
          <w:t>1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right="0"/>
        <w:jc w:val="left"/>
        <w:rPr>
          <w:rFonts w:ascii="宋体" w:hAnsi="宋体" w:cs="宋体" w:eastAsia="宋体"/>
        </w:rPr>
      </w:pPr>
      <w:hyperlink w:history="true" w:anchor="_bookmark1">
        <w:r>
          <w:rPr>
            <w:rFonts w:ascii="宋体" w:hAnsi="宋体" w:cs="宋体" w:eastAsia="宋体"/>
          </w:rPr>
          <w:t>二、总体考虑</w:t>
        </w:r>
        <w:r>
          <w:rPr>
            <w:rFonts w:ascii="宋体" w:hAnsi="宋体" w:cs="宋体" w:eastAsia="宋体"/>
          </w:rPr>
          <w:tab/>
          <w:t>1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right="0"/>
        <w:jc w:val="left"/>
        <w:rPr>
          <w:rFonts w:ascii="宋体" w:hAnsi="宋体" w:cs="宋体" w:eastAsia="宋体"/>
        </w:rPr>
      </w:pPr>
      <w:hyperlink w:history="true" w:anchor="_bookmark2">
        <w:r>
          <w:rPr>
            <w:rFonts w:ascii="宋体" w:hAnsi="宋体" w:cs="宋体" w:eastAsia="宋体"/>
          </w:rPr>
          <w:t>三、处方及生产工艺</w:t>
        </w:r>
        <w:r>
          <w:rPr>
            <w:rFonts w:ascii="宋体" w:hAnsi="宋体" w:cs="宋体" w:eastAsia="宋体"/>
          </w:rPr>
          <w:tab/>
          <w:t>2</w:t>
        </w:r>
      </w:hyperlink>
    </w:p>
    <w:p>
      <w:pPr>
        <w:pStyle w:val="BodyText"/>
        <w:tabs>
          <w:tab w:pos="8421" w:val="right" w:leader="dot"/>
        </w:tabs>
        <w:spacing w:line="240" w:lineRule="auto" w:before="301"/>
        <w:ind w:left="341" w:right="0"/>
        <w:jc w:val="left"/>
        <w:rPr>
          <w:rFonts w:ascii="宋体" w:hAnsi="宋体" w:cs="宋体" w:eastAsia="宋体"/>
        </w:rPr>
      </w:pPr>
      <w:hyperlink w:history="true" w:anchor="_bookmark3">
        <w:r>
          <w:rPr>
            <w:rFonts w:ascii="宋体" w:hAnsi="宋体" w:cs="宋体" w:eastAsia="宋体"/>
          </w:rPr>
          <w:t>（一）处方研究</w:t>
        </w:r>
        <w:r>
          <w:rPr>
            <w:rFonts w:ascii="宋体" w:hAnsi="宋体" w:cs="宋体" w:eastAsia="宋体"/>
          </w:rPr>
          <w:tab/>
          <w:t>2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left="341" w:right="0"/>
        <w:jc w:val="left"/>
        <w:rPr>
          <w:rFonts w:ascii="宋体" w:hAnsi="宋体" w:cs="宋体" w:eastAsia="宋体"/>
        </w:rPr>
      </w:pPr>
      <w:hyperlink w:history="true" w:anchor="_bookmark4">
        <w:r>
          <w:rPr>
            <w:rFonts w:ascii="宋体" w:hAnsi="宋体" w:cs="宋体" w:eastAsia="宋体"/>
          </w:rPr>
          <w:t>（二）生产工艺研究</w:t>
        </w:r>
        <w:r>
          <w:rPr>
            <w:rFonts w:ascii="宋体" w:hAnsi="宋体" w:cs="宋体" w:eastAsia="宋体"/>
          </w:rPr>
          <w:tab/>
          <w:t>3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left="341" w:right="0"/>
        <w:jc w:val="left"/>
        <w:rPr>
          <w:rFonts w:ascii="宋体" w:hAnsi="宋体" w:cs="宋体" w:eastAsia="宋体"/>
        </w:rPr>
      </w:pPr>
      <w:hyperlink w:history="true" w:anchor="_bookmark5">
        <w:r>
          <w:rPr>
            <w:rFonts w:ascii="宋体" w:hAnsi="宋体" w:cs="宋体" w:eastAsia="宋体"/>
          </w:rPr>
          <w:t>（三）包装系统研究</w:t>
        </w:r>
        <w:r>
          <w:rPr>
            <w:rFonts w:ascii="宋体" w:hAnsi="宋体" w:cs="宋体" w:eastAsia="宋体"/>
          </w:rPr>
          <w:tab/>
          <w:t>6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left="341" w:right="0"/>
        <w:jc w:val="left"/>
        <w:rPr>
          <w:rFonts w:ascii="宋体" w:hAnsi="宋体" w:cs="宋体" w:eastAsia="宋体"/>
        </w:rPr>
      </w:pPr>
      <w:hyperlink w:history="true" w:anchor="_bookmark6">
        <w:r>
          <w:rPr>
            <w:rFonts w:ascii="宋体" w:hAnsi="宋体" w:cs="宋体" w:eastAsia="宋体"/>
          </w:rPr>
          <w:t>（四）批量</w:t>
        </w:r>
        <w:r>
          <w:rPr>
            <w:rFonts w:ascii="宋体" w:hAnsi="宋体" w:cs="宋体" w:eastAsia="宋体"/>
          </w:rPr>
          <w:tab/>
          <w:t>6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right="0"/>
        <w:jc w:val="left"/>
        <w:rPr>
          <w:rFonts w:ascii="宋体" w:hAnsi="宋体" w:cs="宋体" w:eastAsia="宋体"/>
        </w:rPr>
      </w:pPr>
      <w:hyperlink w:history="true" w:anchor="_bookmark7">
        <w:r>
          <w:rPr>
            <w:rFonts w:ascii="宋体" w:hAnsi="宋体" w:cs="宋体" w:eastAsia="宋体"/>
          </w:rPr>
          <w:t>四、质量研究与质量控制</w:t>
        </w:r>
        <w:r>
          <w:rPr>
            <w:rFonts w:ascii="宋体" w:hAnsi="宋体" w:cs="宋体" w:eastAsia="宋体"/>
          </w:rPr>
          <w:tab/>
          <w:t>7</w:t>
        </w:r>
      </w:hyperlink>
    </w:p>
    <w:p>
      <w:pPr>
        <w:pStyle w:val="BodyText"/>
        <w:tabs>
          <w:tab w:pos="8421" w:val="right" w:leader="dot"/>
        </w:tabs>
        <w:spacing w:line="240" w:lineRule="auto" w:before="306"/>
        <w:ind w:right="0"/>
        <w:jc w:val="left"/>
        <w:rPr>
          <w:rFonts w:ascii="宋体" w:hAnsi="宋体" w:cs="宋体" w:eastAsia="宋体"/>
        </w:rPr>
      </w:pPr>
      <w:hyperlink w:history="true" w:anchor="_bookmark8">
        <w:r>
          <w:rPr>
            <w:rFonts w:ascii="宋体" w:hAnsi="宋体" w:cs="宋体" w:eastAsia="宋体"/>
          </w:rPr>
          <w:t>五、稳定性研究</w:t>
        </w:r>
        <w:r>
          <w:rPr>
            <w:rFonts w:ascii="宋体" w:hAnsi="宋体" w:cs="宋体" w:eastAsia="宋体"/>
          </w:rPr>
          <w:tab/>
          <w:t>9</w:t>
        </w:r>
      </w:hyperlink>
    </w:p>
    <w:p>
      <w:pPr>
        <w:pStyle w:val="BodyText"/>
        <w:tabs>
          <w:tab w:pos="8421" w:val="right" w:leader="dot"/>
        </w:tabs>
        <w:spacing w:line="240" w:lineRule="auto" w:before="301"/>
        <w:ind w:right="0"/>
        <w:jc w:val="left"/>
        <w:rPr>
          <w:rFonts w:ascii="宋体" w:hAnsi="宋体" w:cs="宋体" w:eastAsia="宋体"/>
        </w:rPr>
      </w:pPr>
      <w:hyperlink w:history="true" w:anchor="_bookmark9">
        <w:r>
          <w:rPr>
            <w:rFonts w:ascii="宋体" w:hAnsi="宋体" w:cs="宋体" w:eastAsia="宋体"/>
          </w:rPr>
          <w:t>六、参考文献</w:t>
        </w:r>
        <w:r>
          <w:rPr>
            <w:rFonts w:ascii="宋体" w:hAnsi="宋体" w:cs="宋体" w:eastAsia="宋体"/>
          </w:rPr>
          <w:tab/>
          <w:t>9</w:t>
        </w:r>
      </w:hyperlink>
    </w:p>
    <w:p>
      <w:pPr>
        <w:spacing w:after="0" w:line="240" w:lineRule="auto"/>
        <w:jc w:val="left"/>
        <w:rPr>
          <w:rFonts w:ascii="宋体" w:hAnsi="宋体" w:cs="宋体" w:eastAsia="宋体"/>
        </w:rPr>
        <w:sectPr>
          <w:pgSz w:w="11910" w:h="16840"/>
          <w:pgMar w:top="1440" w:bottom="280" w:left="1680" w:right="1680"/>
        </w:sectPr>
      </w:pPr>
    </w:p>
    <w:p>
      <w:pPr>
        <w:spacing w:line="240" w:lineRule="auto" w:before="9"/>
        <w:rPr>
          <w:rFonts w:ascii="宋体" w:hAnsi="宋体" w:cs="宋体" w:eastAsia="宋体"/>
          <w:sz w:val="5"/>
          <w:szCs w:val="5"/>
        </w:rPr>
      </w:pPr>
    </w:p>
    <w:p>
      <w:pPr>
        <w:spacing w:line="501" w:lineRule="exact"/>
        <w:ind w:left="312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9"/>
          <w:sz w:val="20"/>
          <w:szCs w:val="20"/>
        </w:rPr>
        <w:drawing>
          <wp:inline distT="0" distB="0" distL="0" distR="0">
            <wp:extent cx="5285596" cy="318516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596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9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6"/>
          <w:szCs w:val="16"/>
        </w:rPr>
      </w:pPr>
    </w:p>
    <w:p>
      <w:pPr>
        <w:spacing w:line="504" w:lineRule="exact"/>
        <w:ind w:left="339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9"/>
          <w:sz w:val="20"/>
          <w:szCs w:val="20"/>
        </w:rPr>
        <w:pict>
          <v:group style="width:110pt;height:25.2pt;mso-position-horizontal-relative:char;mso-position-vertical-relative:line" coordorigin="0,0" coordsize="2200,504">
            <v:shape style="position:absolute;left:0;top:0;width:883;height:504" type="#_x0000_t75" stroked="false">
              <v:imagedata r:id="rId11" o:title=""/>
            </v:shape>
            <v:shape style="position:absolute;left:442;top:0;width:1326;height:504" type="#_x0000_t75" stroked="false">
              <v:imagedata r:id="rId12" o:title=""/>
            </v:shape>
            <v:shape style="position:absolute;left:1326;top:0;width:874;height:504" type="#_x0000_t75" stroked="false">
              <v:imagedata r:id="rId13" o:title=""/>
            </v:shape>
          </v:group>
        </w:pict>
      </w:r>
      <w:r>
        <w:rPr>
          <w:rFonts w:ascii="宋体" w:hAnsi="宋体" w:cs="宋体" w:eastAsia="宋体"/>
          <w:position w:val="-9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0"/>
        <w:rPr>
          <w:rFonts w:ascii="宋体" w:hAnsi="宋体" w:cs="宋体" w:eastAsia="宋体"/>
          <w:sz w:val="33"/>
          <w:szCs w:val="33"/>
        </w:rPr>
      </w:pPr>
    </w:p>
    <w:p>
      <w:pPr>
        <w:pStyle w:val="BodyText"/>
        <w:spacing w:line="240" w:lineRule="auto"/>
        <w:ind w:left="759" w:right="0"/>
        <w:jc w:val="left"/>
        <w:rPr>
          <w:rFonts w:ascii="宋体" w:hAnsi="宋体" w:cs="宋体" w:eastAsia="宋体"/>
        </w:rPr>
      </w:pPr>
      <w:bookmarkStart w:name="_bookmark0" w:id="1"/>
      <w:bookmarkEnd w:id="1"/>
      <w:r>
        <w:rPr/>
      </w:r>
      <w:r>
        <w:rPr>
          <w:rFonts w:ascii="宋体" w:hAnsi="宋体" w:cs="宋体" w:eastAsia="宋体"/>
        </w:rPr>
        <w:t>一、概述</w:t>
      </w:r>
    </w:p>
    <w:p>
      <w:pPr>
        <w:pStyle w:val="BodyText"/>
        <w:spacing w:line="357" w:lineRule="auto" w:before="200"/>
        <w:ind w:right="0" w:firstLine="480"/>
        <w:jc w:val="left"/>
      </w:pPr>
      <w:r>
        <w:rPr>
          <w:spacing w:val="3"/>
        </w:rPr>
        <w:t>膜剂是指原料药物与适宜的成膜材料等经加工制成的膜</w:t>
      </w:r>
      <w:r>
        <w:rPr>
          <w:spacing w:val="4"/>
          <w:w w:val="100"/>
        </w:rPr>
        <w:t> </w:t>
      </w:r>
      <w:r>
        <w:rPr>
          <w:spacing w:val="-3"/>
        </w:rPr>
        <w:t>状制剂，根据给药部位不同，可分为口用膜、眼用膜、阴道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2"/>
        </w:rPr>
        <w:t>膜等。口用膜可分为口溶膜、口颊膜、舌下膜和口腔贴膜。</w:t>
      </w:r>
      <w:r>
        <w:rPr>
          <w:spacing w:val="-86"/>
        </w:rPr>
        <w:t> </w:t>
      </w:r>
      <w:r>
        <w:rPr>
          <w:spacing w:val="-86"/>
        </w:rPr>
      </w:r>
      <w:r>
        <w:rPr>
          <w:spacing w:val="-3"/>
        </w:rPr>
        <w:t>口溶膜是指在口腔内可迅速溶化的膜剂，同时具有溶化快速、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3"/>
        </w:rPr>
        <w:t>使用方便、剂量准确、便于携带等特点，在特定疾病治疗及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特定人群使用方面具有一定优势，适用于吞咽困难及需要服</w:t>
      </w:r>
      <w:r>
        <w:rPr>
          <w:spacing w:val="-96"/>
        </w:rPr>
        <w:t> </w:t>
      </w:r>
      <w:r>
        <w:rPr>
          <w:spacing w:val="-96"/>
        </w:rPr>
      </w:r>
      <w:r>
        <w:rPr/>
        <w:t>药但会产生抵抗情绪等患者。</w:t>
      </w:r>
    </w:p>
    <w:p>
      <w:pPr>
        <w:pStyle w:val="BodyText"/>
        <w:spacing w:line="350" w:lineRule="auto" w:before="49"/>
        <w:ind w:right="0" w:firstLine="480"/>
        <w:jc w:val="left"/>
      </w:pPr>
      <w:r>
        <w:rPr>
          <w:spacing w:val="3"/>
        </w:rPr>
        <w:t>本指导原则适用于口溶膜剂新药和仿制药的药学研究，</w:t>
      </w:r>
      <w:r>
        <w:rPr>
          <w:spacing w:val="4"/>
          <w:w w:val="100"/>
        </w:rPr>
        <w:t> </w:t>
      </w:r>
      <w:r>
        <w:rPr>
          <w:spacing w:val="-5"/>
        </w:rPr>
        <w:t>根据口溶膜剂特点</w:t>
      </w:r>
      <w:r>
        <w:rPr>
          <w:rFonts w:ascii="Times New Roman" w:hAnsi="Times New Roman" w:cs="Times New Roman" w:eastAsia="Times New Roman"/>
          <w:spacing w:val="-5"/>
        </w:rPr>
        <w:t>,</w:t>
      </w:r>
      <w:r>
        <w:rPr>
          <w:spacing w:val="-5"/>
        </w:rPr>
        <w:t>重点阐述其处方及生产工艺、质量研究与</w:t>
      </w:r>
      <w:r>
        <w:rPr>
          <w:spacing w:val="-114"/>
        </w:rPr>
        <w:t> </w:t>
      </w:r>
      <w:r>
        <w:rPr>
          <w:spacing w:val="-114"/>
        </w:rPr>
      </w:r>
      <w:r>
        <w:rPr>
          <w:spacing w:val="2"/>
        </w:rPr>
        <w:t>质量控制、稳定性研究、包装系统等药学研究的技术要求，</w:t>
      </w:r>
      <w:r>
        <w:rPr>
          <w:spacing w:val="-86"/>
        </w:rPr>
        <w:t> </w:t>
      </w:r>
      <w:r>
        <w:rPr>
          <w:spacing w:val="-86"/>
        </w:rPr>
      </w:r>
      <w:r>
        <w:rPr/>
        <w:t>为口溶膜剂的研发提供技术指导。</w:t>
      </w:r>
    </w:p>
    <w:p>
      <w:pPr>
        <w:pStyle w:val="BodyText"/>
        <w:spacing w:line="355" w:lineRule="auto" w:before="58"/>
        <w:ind w:right="432" w:firstLine="638"/>
        <w:jc w:val="both"/>
      </w:pPr>
      <w:r>
        <w:rPr>
          <w:spacing w:val="-3"/>
        </w:rPr>
        <w:t>本指导原则仅代表药品监管机构当前的观点和认知，不</w:t>
      </w:r>
      <w:r>
        <w:rPr>
          <w:w w:val="100"/>
        </w:rPr>
        <w:t> </w:t>
      </w:r>
      <w:r>
        <w:rPr>
          <w:spacing w:val="-3"/>
        </w:rPr>
        <w:t>具有强制性的法律约束力。随着科学研究的进展，本指导原</w:t>
      </w:r>
      <w:r>
        <w:rPr>
          <w:spacing w:val="-96"/>
        </w:rPr>
        <w:t> </w:t>
      </w:r>
      <w:r>
        <w:rPr>
          <w:spacing w:val="-96"/>
        </w:rPr>
      </w:r>
      <w:r>
        <w:rPr/>
        <w:t>则中的相关内容将不断完善与更新。</w:t>
      </w:r>
    </w:p>
    <w:p>
      <w:pPr>
        <w:pStyle w:val="BodyText"/>
        <w:spacing w:line="240" w:lineRule="auto" w:before="51"/>
        <w:ind w:left="759" w:right="0"/>
        <w:jc w:val="left"/>
        <w:rPr>
          <w:rFonts w:ascii="宋体" w:hAnsi="宋体" w:cs="宋体" w:eastAsia="宋体"/>
        </w:rPr>
      </w:pPr>
      <w:bookmarkStart w:name="_bookmark1" w:id="2"/>
      <w:bookmarkEnd w:id="2"/>
      <w:r>
        <w:rPr/>
      </w:r>
      <w:r>
        <w:rPr>
          <w:rFonts w:ascii="宋体" w:hAnsi="宋体" w:cs="宋体" w:eastAsia="宋体"/>
        </w:rPr>
        <w:t>二、总体考虑</w:t>
      </w:r>
    </w:p>
    <w:p>
      <w:pPr>
        <w:pStyle w:val="BodyText"/>
        <w:spacing w:line="355" w:lineRule="auto" w:before="206"/>
        <w:ind w:right="431" w:firstLine="638"/>
        <w:jc w:val="both"/>
      </w:pPr>
      <w:r>
        <w:rPr>
          <w:spacing w:val="10"/>
        </w:rPr>
        <w:t>口溶膜剂的药学研究可遵循普通口服固体制剂的相关</w:t>
      </w:r>
      <w:r>
        <w:rPr>
          <w:w w:val="100"/>
        </w:rPr>
        <w:t> </w:t>
      </w:r>
      <w:r>
        <w:rPr/>
        <w:t>要求，参考 </w:t>
      </w:r>
      <w:r>
        <w:rPr>
          <w:rFonts w:ascii="Times New Roman" w:hAnsi="Times New Roman" w:cs="Times New Roman" w:eastAsia="Times New Roman"/>
          <w:spacing w:val="-4"/>
        </w:rPr>
        <w:t>ICH </w:t>
      </w:r>
      <w:r>
        <w:rPr>
          <w:rFonts w:ascii="Times New Roman" w:hAnsi="Times New Roman" w:cs="Times New Roman" w:eastAsia="Times New Roman"/>
        </w:rPr>
        <w:t>Q8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等指导原则，结合产品临床目标人群的</w:t>
      </w:r>
    </w:p>
    <w:p>
      <w:pPr>
        <w:spacing w:after="0" w:line="355" w:lineRule="auto"/>
        <w:jc w:val="both"/>
        <w:sectPr>
          <w:footerReference w:type="default" r:id="rId9"/>
          <w:pgSz w:w="11910" w:h="16840"/>
          <w:pgMar w:footer="1247" w:header="0" w:top="1420" w:bottom="1440" w:left="1680" w:right="1360"/>
          <w:pgNumType w:start="1"/>
        </w:sectPr>
      </w:pPr>
    </w:p>
    <w:p>
      <w:pPr>
        <w:pStyle w:val="BodyText"/>
        <w:spacing w:line="348" w:lineRule="auto"/>
        <w:ind w:right="428"/>
        <w:jc w:val="both"/>
      </w:pPr>
      <w:r>
        <w:rPr>
          <w:spacing w:val="-3"/>
        </w:rPr>
        <w:t>用药需要、原料药特性和剂型特点，确定目标产品的质量概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17"/>
        </w:rPr>
        <w:t>况（</w:t>
      </w:r>
      <w:r>
        <w:rPr>
          <w:rFonts w:ascii="Times New Roman" w:hAnsi="Times New Roman" w:cs="Times New Roman" w:eastAsia="Times New Roman"/>
          <w:spacing w:val="-17"/>
        </w:rPr>
        <w:t>QTPP</w:t>
      </w:r>
      <w:r>
        <w:rPr>
          <w:spacing w:val="-17"/>
        </w:rPr>
        <w:t>），如吸收途径、规格、包装系统等，并根据 </w:t>
      </w:r>
      <w:r>
        <w:rPr>
          <w:rFonts w:ascii="Times New Roman" w:hAnsi="Times New Roman" w:cs="Times New Roman" w:eastAsia="Times New Roman"/>
          <w:spacing w:val="-3"/>
        </w:rPr>
        <w:t>QTPP</w:t>
      </w:r>
      <w:r>
        <w:rPr>
          <w:rFonts w:ascii="Times New Roman" w:hAnsi="Times New Roman" w:cs="Times New Roman" w:eastAsia="Times New Roman"/>
          <w:spacing w:val="-69"/>
        </w:rPr>
        <w:t> </w:t>
      </w:r>
      <w:r>
        <w:rPr>
          <w:rFonts w:ascii="Times New Roman" w:hAnsi="Times New Roman" w:cs="Times New Roman" w:eastAsia="Times New Roman"/>
          <w:spacing w:val="-69"/>
        </w:rPr>
      </w:r>
      <w:r>
        <w:rPr>
          <w:spacing w:val="-15"/>
        </w:rPr>
        <w:t>确定口溶膜剂的关键质量属性（</w:t>
      </w:r>
      <w:r>
        <w:rPr>
          <w:rFonts w:ascii="Times New Roman" w:hAnsi="Times New Roman" w:cs="Times New Roman" w:eastAsia="Times New Roman"/>
          <w:spacing w:val="-15"/>
        </w:rPr>
        <w:t>CQA</w:t>
      </w:r>
      <w:r>
        <w:rPr>
          <w:spacing w:val="-15"/>
        </w:rPr>
        <w:t>），重点关注膜剂的机械</w:t>
      </w:r>
      <w:r>
        <w:rPr>
          <w:spacing w:val="-109"/>
        </w:rPr>
        <w:t> </w:t>
      </w:r>
      <w:r>
        <w:rPr>
          <w:spacing w:val="-109"/>
        </w:rPr>
      </w:r>
      <w:r>
        <w:rPr>
          <w:spacing w:val="-3"/>
        </w:rPr>
        <w:t>性能、溶化时限、口感等。产品开发过程中，基于对口溶膜</w:t>
      </w:r>
      <w:r>
        <w:rPr>
          <w:spacing w:val="-96"/>
        </w:rPr>
        <w:t> </w:t>
      </w:r>
      <w:r>
        <w:rPr>
          <w:spacing w:val="-96"/>
        </w:rPr>
      </w:r>
      <w:r>
        <w:rPr/>
        <w:t>剂 </w:t>
      </w:r>
      <w:r>
        <w:rPr>
          <w:rFonts w:ascii="Times New Roman" w:hAnsi="Times New Roman" w:cs="Times New Roman" w:eastAsia="Times New Roman"/>
        </w:rPr>
        <w:t>CQA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的全面分析和研究，选择确认适合的辅料种类及用</w:t>
      </w:r>
      <w:r>
        <w:rPr>
          <w:w w:val="100"/>
        </w:rPr>
        <w:t> </w:t>
      </w:r>
      <w:r>
        <w:rPr>
          <w:spacing w:val="-3"/>
        </w:rPr>
        <w:t>量，合理设计生产工艺，研究确定有效的过程控制措施，制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定合理的控制策略，保证生产工艺能够持续稳定生产出符合</w:t>
      </w:r>
      <w:r>
        <w:rPr>
          <w:spacing w:val="-96"/>
        </w:rPr>
        <w:t> </w:t>
      </w:r>
      <w:r>
        <w:rPr>
          <w:spacing w:val="-96"/>
        </w:rPr>
      </w:r>
      <w:r>
        <w:rPr/>
        <w:t>预期质量的口溶膜剂产品。</w:t>
      </w:r>
    </w:p>
    <w:p>
      <w:pPr>
        <w:pStyle w:val="BodyText"/>
        <w:spacing w:line="357" w:lineRule="auto" w:before="61"/>
        <w:ind w:right="432" w:firstLine="638"/>
        <w:jc w:val="both"/>
      </w:pPr>
      <w:r>
        <w:rPr>
          <w:spacing w:val="-3"/>
        </w:rPr>
        <w:t>对于仿制药，申请人应按照国家药监局发布的《化学仿</w:t>
      </w:r>
      <w:r>
        <w:rPr>
          <w:w w:val="100"/>
        </w:rPr>
        <w:t> </w:t>
      </w:r>
      <w:r>
        <w:rPr>
          <w:spacing w:val="-3"/>
        </w:rPr>
        <w:t>制药参比制剂遴选与确定程序》进行参比制剂遴选，根据发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布的参比制剂目录，参照本技术要求和国内外相关技术指导</w:t>
      </w:r>
      <w:r>
        <w:rPr>
          <w:spacing w:val="-96"/>
        </w:rPr>
        <w:t> </w:t>
      </w:r>
      <w:r>
        <w:rPr>
          <w:spacing w:val="-96"/>
        </w:rPr>
      </w:r>
      <w:r>
        <w:rPr/>
        <w:t>原则开展仿制药与参比制剂的药学对比研究工作。</w:t>
      </w:r>
    </w:p>
    <w:p>
      <w:pPr>
        <w:pStyle w:val="BodyText"/>
        <w:spacing w:line="240" w:lineRule="auto" w:before="44"/>
        <w:ind w:left="759" w:right="0"/>
        <w:jc w:val="left"/>
        <w:rPr>
          <w:rFonts w:ascii="宋体" w:hAnsi="宋体" w:cs="宋体" w:eastAsia="宋体"/>
        </w:rPr>
      </w:pPr>
      <w:bookmarkStart w:name="_bookmark2" w:id="3"/>
      <w:bookmarkEnd w:id="3"/>
      <w:r>
        <w:rPr/>
      </w:r>
      <w:r>
        <w:rPr>
          <w:rFonts w:ascii="宋体" w:hAnsi="宋体" w:cs="宋体" w:eastAsia="宋体"/>
        </w:rPr>
        <w:t>三、处方及生产工艺</w:t>
      </w:r>
    </w:p>
    <w:p>
      <w:pPr>
        <w:pStyle w:val="BodyText"/>
        <w:spacing w:line="240" w:lineRule="auto" w:before="205"/>
        <w:ind w:left="759" w:right="0"/>
        <w:jc w:val="left"/>
        <w:rPr>
          <w:rFonts w:ascii="宋体" w:hAnsi="宋体" w:cs="宋体" w:eastAsia="宋体"/>
        </w:rPr>
      </w:pPr>
      <w:bookmarkStart w:name="_bookmark3" w:id="4"/>
      <w:bookmarkEnd w:id="4"/>
      <w:r>
        <w:rPr/>
      </w:r>
      <w:r>
        <w:rPr>
          <w:rFonts w:ascii="宋体" w:hAnsi="宋体" w:cs="宋体" w:eastAsia="宋体"/>
        </w:rPr>
        <w:t>（一）处方研究</w:t>
      </w:r>
    </w:p>
    <w:p>
      <w:pPr>
        <w:pStyle w:val="BodyText"/>
        <w:spacing w:line="350" w:lineRule="auto" w:before="205"/>
        <w:ind w:right="0" w:firstLine="638"/>
        <w:jc w:val="left"/>
      </w:pPr>
      <w:r>
        <w:rPr>
          <w:spacing w:val="-3"/>
        </w:rPr>
        <w:t>口溶膜剂处方组成通常包括活性成份、成膜剂、增塑剂</w:t>
      </w:r>
      <w:r>
        <w:rPr>
          <w:w w:val="100"/>
        </w:rPr>
        <w:t> </w:t>
      </w:r>
      <w:r>
        <w:rPr/>
        <w:t>等。应参考 </w:t>
      </w:r>
      <w:r>
        <w:rPr>
          <w:rFonts w:ascii="Times New Roman" w:hAnsi="Times New Roman" w:cs="Times New Roman" w:eastAsia="Times New Roman"/>
          <w:spacing w:val="-4"/>
        </w:rPr>
        <w:t>ICH </w:t>
      </w:r>
      <w:r>
        <w:rPr>
          <w:rFonts w:ascii="Times New Roman" w:hAnsi="Times New Roman" w:cs="Times New Roman" w:eastAsia="Times New Roman"/>
        </w:rPr>
        <w:t>Q8 </w:t>
      </w:r>
      <w:r>
        <w:rPr/>
        <w:t>等技术指导原则，科学设计实验，通过</w:t>
      </w:r>
      <w:r>
        <w:rPr>
          <w:spacing w:val="-140"/>
        </w:rPr>
        <w:t> </w:t>
      </w:r>
      <w:r>
        <w:rPr>
          <w:spacing w:val="-140"/>
        </w:rPr>
      </w:r>
      <w:r>
        <w:rPr>
          <w:spacing w:val="-3"/>
        </w:rPr>
        <w:t>研究确定合理处方，明确原辅料关键理化特性，制定合理的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控制策略。仿制药关键辅料的种类通常与参比制剂保持一致。</w:t>
      </w:r>
    </w:p>
    <w:p>
      <w:pPr>
        <w:pStyle w:val="BodyText"/>
        <w:spacing w:line="240" w:lineRule="auto" w:before="53"/>
        <w:ind w:left="759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、原料药</w:t>
      </w:r>
    </w:p>
    <w:p>
      <w:pPr>
        <w:pStyle w:val="BodyText"/>
        <w:spacing w:line="345" w:lineRule="auto" w:before="181"/>
        <w:ind w:right="0" w:firstLine="638"/>
        <w:jc w:val="left"/>
      </w:pPr>
      <w:r>
        <w:rPr/>
        <w:t>应对可能影响口溶膜剂 </w:t>
      </w:r>
      <w:r>
        <w:rPr>
          <w:rFonts w:ascii="Times New Roman" w:hAnsi="Times New Roman" w:cs="Times New Roman" w:eastAsia="Times New Roman"/>
          <w:spacing w:val="-2"/>
        </w:rPr>
        <w:t>CQA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的原料药理化性质进行分</w:t>
      </w:r>
      <w:r>
        <w:rPr>
          <w:w w:val="100"/>
        </w:rPr>
        <w:t> </w:t>
      </w:r>
      <w:r>
        <w:rPr>
          <w:spacing w:val="-3"/>
        </w:rPr>
        <w:t>析，如：溶解度、口感、晶型、粒度及粒度分布等。如原料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药溶解性差且在制剂工艺过程中处于混悬状态，需结合晶型、</w:t>
      </w:r>
    </w:p>
    <w:p>
      <w:pPr>
        <w:spacing w:after="0" w:line="345" w:lineRule="auto"/>
        <w:jc w:val="left"/>
        <w:sectPr>
          <w:pgSz w:w="11910" w:h="16840"/>
          <w:pgMar w:header="0" w:footer="1247" w:top="1380" w:bottom="1440" w:left="1680" w:right="1360"/>
        </w:sectPr>
      </w:pPr>
    </w:p>
    <w:p>
      <w:pPr>
        <w:pStyle w:val="BodyText"/>
        <w:spacing w:line="357" w:lineRule="auto"/>
        <w:ind w:right="0"/>
        <w:jc w:val="left"/>
      </w:pPr>
      <w:r>
        <w:rPr>
          <w:spacing w:val="-3"/>
        </w:rPr>
        <w:t>粒度及粒度分布等对制剂的性状、含量均匀度、溶出度等的</w:t>
      </w:r>
      <w:r>
        <w:rPr>
          <w:spacing w:val="-96"/>
        </w:rPr>
        <w:t> </w:t>
      </w:r>
      <w:r>
        <w:rPr>
          <w:spacing w:val="-96"/>
        </w:rPr>
      </w:r>
      <w:r>
        <w:rPr/>
        <w:t>影响研究，建立相应控制策略。</w:t>
      </w:r>
    </w:p>
    <w:p>
      <w:pPr>
        <w:pStyle w:val="BodyText"/>
        <w:spacing w:line="357" w:lineRule="auto" w:before="44"/>
        <w:ind w:right="0" w:firstLine="638"/>
        <w:jc w:val="left"/>
      </w:pPr>
      <w:r>
        <w:rPr>
          <w:spacing w:val="-3"/>
        </w:rPr>
        <w:t>如原料药口感极苦、刺激性较强，或剂量较大，通常不</w:t>
      </w:r>
      <w:r>
        <w:rPr>
          <w:w w:val="100"/>
        </w:rPr>
        <w:t> </w:t>
      </w:r>
      <w:r>
        <w:rPr/>
        <w:t>建议开发成口溶膜剂。</w:t>
      </w:r>
    </w:p>
    <w:p>
      <w:pPr>
        <w:pStyle w:val="BodyText"/>
        <w:spacing w:line="336" w:lineRule="auto" w:before="49"/>
        <w:ind w:left="759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、辅料</w:t>
      </w:r>
      <w:r>
        <w:rPr>
          <w:spacing w:val="-158"/>
        </w:rPr>
        <w:t> </w:t>
      </w:r>
      <w:r>
        <w:rPr>
          <w:spacing w:val="-3"/>
        </w:rPr>
        <w:t>应根据辅料特性及其在口溶膜剂中的作用，对可能影响</w:t>
      </w:r>
    </w:p>
    <w:p>
      <w:pPr>
        <w:pStyle w:val="BodyText"/>
        <w:spacing w:line="357" w:lineRule="auto" w:before="77"/>
        <w:ind w:right="0"/>
        <w:jc w:val="left"/>
      </w:pPr>
      <w:r>
        <w:rPr>
          <w:spacing w:val="-3"/>
        </w:rPr>
        <w:t>口溶膜剂机械性能、溶化时限、溶出度和口感等关键质量属</w:t>
      </w:r>
      <w:r>
        <w:rPr>
          <w:spacing w:val="-95"/>
        </w:rPr>
        <w:t> </w:t>
      </w:r>
      <w:r>
        <w:rPr>
          <w:spacing w:val="-95"/>
        </w:rPr>
      </w:r>
      <w:r>
        <w:rPr/>
        <w:t>性的辅料功能性相关指标进行研究和控制。</w:t>
      </w:r>
    </w:p>
    <w:p>
      <w:pPr>
        <w:pStyle w:val="BodyText"/>
        <w:spacing w:line="355" w:lineRule="auto" w:before="48"/>
        <w:ind w:right="432" w:firstLine="638"/>
        <w:jc w:val="right"/>
      </w:pPr>
      <w:r>
        <w:rPr>
          <w:spacing w:val="-3"/>
        </w:rPr>
        <w:t>成膜剂是口溶膜剂中主要的骨架材料，通常包括纤维素</w:t>
      </w:r>
      <w:r>
        <w:rPr>
          <w:w w:val="100"/>
        </w:rPr>
        <w:t> </w:t>
      </w:r>
      <w:r>
        <w:rPr>
          <w:spacing w:val="-3"/>
        </w:rPr>
        <w:t>类衍生物、合成高分子材料类等，应关注成膜剂的种类和用</w:t>
      </w:r>
      <w:r>
        <w:rPr>
          <w:spacing w:val="-107"/>
        </w:rPr>
        <w:t> </w:t>
      </w:r>
      <w:r>
        <w:rPr>
          <w:spacing w:val="-107"/>
        </w:rPr>
      </w:r>
      <w:r>
        <w:rPr>
          <w:spacing w:val="-14"/>
        </w:rPr>
        <w:t>量对载药量、外观、机械性能、溶化时限、溶出度等的影响。</w:t>
      </w:r>
      <w:r>
        <w:rPr>
          <w:spacing w:val="-130"/>
        </w:rPr>
        <w:t> </w:t>
      </w:r>
      <w:r>
        <w:rPr>
          <w:spacing w:val="-130"/>
        </w:rPr>
      </w:r>
      <w:r>
        <w:rPr>
          <w:spacing w:val="-3"/>
        </w:rPr>
        <w:t>增塑剂可降低成膜剂的玻璃化转变温度，改善口溶膜剂</w:t>
      </w:r>
      <w:r>
        <w:rPr>
          <w:w w:val="100"/>
        </w:rPr>
        <w:t> </w:t>
      </w:r>
      <w:r>
        <w:rPr>
          <w:spacing w:val="-3"/>
        </w:rPr>
        <w:t>的柔韧性，提高药膜的机械性能。应关注其对口溶膜剂机械</w:t>
      </w:r>
    </w:p>
    <w:p>
      <w:pPr>
        <w:pStyle w:val="BodyText"/>
        <w:spacing w:line="357" w:lineRule="auto" w:before="51"/>
        <w:ind w:left="759" w:right="0" w:hanging="639"/>
        <w:jc w:val="left"/>
      </w:pPr>
      <w:r>
        <w:rPr/>
        <w:t>性能、溶化时限和溶出度等的影响。</w:t>
      </w:r>
      <w:r>
        <w:rPr>
          <w:w w:val="100"/>
        </w:rPr>
        <w:t> </w:t>
      </w:r>
      <w:r>
        <w:rPr>
          <w:spacing w:val="-3"/>
        </w:rPr>
        <w:t>口溶膜剂应口感良好，对口腔黏膜无刺激性。根据依从</w:t>
      </w:r>
    </w:p>
    <w:p>
      <w:pPr>
        <w:pStyle w:val="BodyText"/>
        <w:spacing w:line="357" w:lineRule="auto" w:before="44"/>
        <w:ind w:left="759" w:right="0" w:hanging="639"/>
        <w:jc w:val="left"/>
      </w:pPr>
      <w:r>
        <w:rPr>
          <w:spacing w:val="-3"/>
        </w:rPr>
        <w:t>性的需要，可添加矫味剂等或采用合适的掩味技术改善口感。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9"/>
        </w:rPr>
        <w:t>如处方中使用稳定剂、抗氧剂等辅料，需提供合理依据。</w:t>
      </w:r>
    </w:p>
    <w:p>
      <w:pPr>
        <w:pStyle w:val="BodyText"/>
        <w:spacing w:line="240" w:lineRule="auto" w:before="49"/>
        <w:ind w:left="759" w:right="0"/>
        <w:jc w:val="left"/>
        <w:rPr>
          <w:rFonts w:ascii="宋体" w:hAnsi="宋体" w:cs="宋体" w:eastAsia="宋体"/>
        </w:rPr>
      </w:pPr>
      <w:bookmarkStart w:name="_bookmark4" w:id="5"/>
      <w:bookmarkEnd w:id="5"/>
      <w:r>
        <w:rPr/>
      </w:r>
      <w:r>
        <w:rPr>
          <w:rFonts w:ascii="宋体" w:hAnsi="宋体" w:cs="宋体" w:eastAsia="宋体"/>
        </w:rPr>
        <w:t>（二）生产工艺研究</w:t>
      </w:r>
    </w:p>
    <w:p>
      <w:pPr>
        <w:pStyle w:val="BodyText"/>
        <w:spacing w:line="350" w:lineRule="auto" w:before="200"/>
        <w:ind w:right="165" w:firstLine="638"/>
        <w:jc w:val="left"/>
      </w:pPr>
      <w:r>
        <w:rPr>
          <w:spacing w:val="-3"/>
        </w:rPr>
        <w:t>应根据口溶膜剂特性，基于已有的生产经验、知识，参</w:t>
      </w:r>
      <w:r>
        <w:rPr>
          <w:w w:val="100"/>
        </w:rPr>
        <w:t> </w:t>
      </w:r>
      <w:r>
        <w:rPr/>
        <w:t>考</w:t>
      </w:r>
      <w:r>
        <w:rPr>
          <w:spacing w:val="-54"/>
        </w:rPr>
        <w:t> </w:t>
      </w:r>
      <w:r>
        <w:rPr>
          <w:rFonts w:ascii="Times New Roman" w:hAnsi="Times New Roman" w:cs="Times New Roman" w:eastAsia="Times New Roman"/>
          <w:spacing w:val="-4"/>
        </w:rPr>
        <w:t>ICH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Q8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等技术指导原则，选择合理的考察指标对工艺进</w:t>
      </w:r>
      <w:r>
        <w:rPr>
          <w:spacing w:val="-155"/>
        </w:rPr>
        <w:t> </w:t>
      </w:r>
      <w:r>
        <w:rPr>
          <w:spacing w:val="-155"/>
        </w:rPr>
      </w:r>
      <w:r>
        <w:rPr>
          <w:spacing w:val="-3"/>
        </w:rPr>
        <w:t>行全面的研究和验证，确定关键步骤及工艺参数，建立合理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的过程控制措施和关键中间产品的质量标准。结合产品特点、</w:t>
      </w:r>
    </w:p>
    <w:p>
      <w:pPr>
        <w:spacing w:after="0" w:line="350" w:lineRule="auto"/>
        <w:jc w:val="left"/>
        <w:sectPr>
          <w:pgSz w:w="11910" w:h="16840"/>
          <w:pgMar w:header="0" w:footer="1247" w:top="1380" w:bottom="1440" w:left="1680" w:right="1360"/>
        </w:sectPr>
      </w:pPr>
    </w:p>
    <w:p>
      <w:pPr>
        <w:pStyle w:val="BodyText"/>
        <w:spacing w:line="357" w:lineRule="auto"/>
        <w:ind w:right="0"/>
        <w:jc w:val="left"/>
      </w:pPr>
      <w:r>
        <w:rPr>
          <w:spacing w:val="2"/>
        </w:rPr>
        <w:t>批量等，参考相关指导原则理念，对可能影响产品均一性、</w:t>
      </w:r>
      <w:r>
        <w:rPr>
          <w:spacing w:val="-86"/>
        </w:rPr>
        <w:t> </w:t>
      </w:r>
      <w:r>
        <w:rPr>
          <w:spacing w:val="-86"/>
        </w:rPr>
      </w:r>
      <w:r>
        <w:rPr>
          <w:spacing w:val="-3"/>
        </w:rPr>
        <w:t>完整性等因素进行风险评估，在工艺研究、工艺验证以及商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业化生产不同阶段制定合理的取样策略，建立合理的验收标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准，以确保成品质量满足拟定目标的要求。鼓励采用过程分</w:t>
      </w:r>
      <w:r>
        <w:rPr>
          <w:spacing w:val="-96"/>
        </w:rPr>
        <w:t> </w:t>
      </w:r>
      <w:r>
        <w:rPr>
          <w:spacing w:val="-96"/>
        </w:rPr>
      </w:r>
      <w:r>
        <w:rPr/>
        <w:t>析技术，对生产过程进行在线监控。</w:t>
      </w:r>
    </w:p>
    <w:p>
      <w:pPr>
        <w:pStyle w:val="BodyText"/>
        <w:spacing w:line="357" w:lineRule="auto" w:before="43"/>
        <w:ind w:right="429" w:firstLine="638"/>
        <w:jc w:val="both"/>
      </w:pPr>
      <w:r>
        <w:rPr>
          <w:spacing w:val="-2"/>
        </w:rPr>
        <w:t>口溶膜剂可采用涂布法、流延法、浇铸法、热熔挤出法</w:t>
      </w:r>
      <w:r>
        <w:rPr>
          <w:w w:val="100"/>
        </w:rPr>
        <w:t> </w:t>
      </w:r>
      <w:r>
        <w:rPr>
          <w:spacing w:val="-3"/>
        </w:rPr>
        <w:t>等工艺制备。涂布法是口溶膜剂商业化生产常用工艺，是指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将活性成份和辅料溶解或分散于适宜的溶剂中，然后经涂布</w:t>
      </w:r>
      <w:r>
        <w:rPr>
          <w:spacing w:val="-96"/>
        </w:rPr>
        <w:t> </w:t>
      </w:r>
      <w:r>
        <w:rPr>
          <w:spacing w:val="-96"/>
        </w:rPr>
      </w:r>
      <w:r>
        <w:rPr/>
        <w:t>干燥、分切、裁切和包装等制备得到成品。</w:t>
      </w:r>
    </w:p>
    <w:p>
      <w:pPr>
        <w:pStyle w:val="BodyText"/>
        <w:spacing w:line="338" w:lineRule="auto" w:before="44"/>
        <w:ind w:left="759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、配液</w:t>
      </w:r>
      <w:r>
        <w:rPr>
          <w:spacing w:val="-158"/>
        </w:rPr>
        <w:t> </w:t>
      </w:r>
      <w:r>
        <w:rPr>
          <w:spacing w:val="-3"/>
        </w:rPr>
        <w:t>配液工艺可能影响制剂的性状、含量、含量均匀度、稳</w:t>
      </w:r>
    </w:p>
    <w:p>
      <w:pPr>
        <w:pStyle w:val="BodyText"/>
        <w:spacing w:line="357" w:lineRule="auto" w:before="74"/>
        <w:ind w:right="0"/>
        <w:jc w:val="left"/>
      </w:pPr>
      <w:r>
        <w:rPr>
          <w:spacing w:val="2"/>
        </w:rPr>
        <w:t>定性等，需考察的工艺参数通常包括配料温度、加料顺序、</w:t>
      </w:r>
      <w:r>
        <w:rPr>
          <w:spacing w:val="-86"/>
        </w:rPr>
        <w:t> </w:t>
      </w:r>
      <w:r>
        <w:rPr>
          <w:spacing w:val="-86"/>
        </w:rPr>
      </w:r>
      <w:r>
        <w:rPr>
          <w:spacing w:val="-3"/>
        </w:rPr>
        <w:t>搅拌速度（分散速度）和时间等，关注配液中间体性状、黏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度、含量等的研究和控制。在工艺研究及验证阶段应进行药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液的混合均匀度考察，注意取样点应均匀分布且具有代表性。</w:t>
      </w:r>
    </w:p>
    <w:p>
      <w:pPr>
        <w:pStyle w:val="BodyText"/>
        <w:spacing w:line="357" w:lineRule="auto" w:before="44"/>
        <w:ind w:right="429" w:firstLine="638"/>
        <w:jc w:val="both"/>
      </w:pPr>
      <w:r>
        <w:rPr>
          <w:spacing w:val="-3"/>
        </w:rPr>
        <w:t>配液过程中对配制后药液进行脱泡处理时，常用的脱泡</w:t>
      </w:r>
      <w:r>
        <w:rPr>
          <w:w w:val="100"/>
        </w:rPr>
        <w:t> </w:t>
      </w:r>
      <w:r>
        <w:rPr>
          <w:spacing w:val="-3"/>
        </w:rPr>
        <w:t>方式包括静置脱泡、真空离心脱泡、真空搅拌脱泡等，关键</w:t>
      </w:r>
      <w:r>
        <w:rPr>
          <w:spacing w:val="-94"/>
        </w:rPr>
        <w:t> </w:t>
      </w:r>
      <w:r>
        <w:rPr>
          <w:spacing w:val="-94"/>
        </w:rPr>
      </w:r>
      <w:r>
        <w:rPr>
          <w:spacing w:val="-3"/>
        </w:rPr>
        <w:t>的工艺参数包括静置时间、真空度、转速和时间等，需对药</w:t>
      </w:r>
      <w:r>
        <w:rPr>
          <w:spacing w:val="-96"/>
        </w:rPr>
        <w:t> </w:t>
      </w:r>
      <w:r>
        <w:rPr>
          <w:spacing w:val="-96"/>
        </w:rPr>
      </w:r>
      <w:r>
        <w:rPr/>
        <w:t>液中的气泡残留进行合理的研究和控制。</w:t>
      </w:r>
    </w:p>
    <w:p>
      <w:pPr>
        <w:pStyle w:val="BodyText"/>
        <w:spacing w:line="338" w:lineRule="auto" w:before="48"/>
        <w:ind w:left="759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、涂布干燥</w:t>
      </w:r>
      <w:r>
        <w:rPr>
          <w:spacing w:val="-155"/>
        </w:rPr>
        <w:t> </w:t>
      </w:r>
      <w:r>
        <w:rPr>
          <w:spacing w:val="3"/>
        </w:rPr>
        <w:t>涂布干燥工艺可能影响制剂的性状、机械性能、含量、</w:t>
      </w:r>
      <w:r>
        <w:rPr/>
      </w:r>
    </w:p>
    <w:p>
      <w:pPr>
        <w:pStyle w:val="BodyText"/>
        <w:spacing w:line="240" w:lineRule="auto" w:before="69"/>
        <w:ind w:right="0"/>
        <w:jc w:val="left"/>
      </w:pPr>
      <w:r>
        <w:rPr>
          <w:spacing w:val="-8"/>
        </w:rPr>
        <w:t>含量均匀度、水分等，需考察的工艺参数通常包括进液速度、</w:t>
      </w:r>
    </w:p>
    <w:p>
      <w:pPr>
        <w:spacing w:after="0" w:line="240" w:lineRule="auto"/>
        <w:jc w:val="left"/>
        <w:sectPr>
          <w:pgSz w:w="11910" w:h="16840"/>
          <w:pgMar w:header="0" w:footer="1247" w:top="1380" w:bottom="1440" w:left="1680" w:right="1360"/>
        </w:sectPr>
      </w:pPr>
    </w:p>
    <w:p>
      <w:pPr>
        <w:pStyle w:val="BodyText"/>
        <w:spacing w:line="352" w:lineRule="auto"/>
        <w:ind w:right="0"/>
        <w:jc w:val="left"/>
      </w:pPr>
      <w:r>
        <w:rPr>
          <w:spacing w:val="-14"/>
        </w:rPr>
        <w:t>涂布厚度（刮刀高度或间隙宽度）、涂布速度、干燥温度等。</w:t>
      </w:r>
      <w:r>
        <w:rPr>
          <w:spacing w:val="-117"/>
        </w:rPr>
        <w:t> </w:t>
      </w:r>
      <w:r>
        <w:rPr>
          <w:spacing w:val="-117"/>
        </w:rPr>
      </w:r>
      <w:r>
        <w:rPr>
          <w:spacing w:val="-3"/>
        </w:rPr>
        <w:t>应加强过程控制，在工艺研究及验证阶段选择合适的时间间</w:t>
      </w:r>
      <w:r>
        <w:rPr>
          <w:spacing w:val="-96"/>
        </w:rPr>
        <w:t> </w:t>
      </w:r>
      <w:r>
        <w:rPr>
          <w:spacing w:val="-96"/>
        </w:rPr>
      </w:r>
      <w:r>
        <w:rPr/>
        <w:t>隔进行取样，检测单位或固定面积</w:t>
      </w:r>
      <w:r>
        <w:rPr>
          <w:rFonts w:ascii="Times New Roman" w:hAnsi="Times New Roman" w:cs="Times New Roman" w:eastAsia="Times New Roman"/>
        </w:rPr>
        <w:t>/</w:t>
      </w:r>
      <w:r>
        <w:rPr/>
        <w:t>重量药膜的性状、水分、</w:t>
      </w:r>
      <w:r>
        <w:rPr>
          <w:spacing w:val="-104"/>
        </w:rPr>
        <w:t> </w:t>
      </w:r>
      <w:r>
        <w:rPr>
          <w:spacing w:val="-104"/>
        </w:rPr>
      </w:r>
      <w:r>
        <w:rPr>
          <w:spacing w:val="-3"/>
        </w:rPr>
        <w:t>片重、片重差异、含量、含量均匀度、机械性能等，保证整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个生产过程中产品质量的均一性。关注涂布干燥中间体性状、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8"/>
        </w:rPr>
        <w:t>水分、含量或片重、含量均匀度或片重差异等的研究和控制。</w:t>
      </w:r>
    </w:p>
    <w:p>
      <w:pPr>
        <w:pStyle w:val="BodyText"/>
        <w:spacing w:line="357" w:lineRule="auto" w:before="55"/>
        <w:ind w:right="0" w:firstLine="638"/>
        <w:jc w:val="left"/>
      </w:pPr>
      <w:r>
        <w:rPr>
          <w:spacing w:val="-3"/>
        </w:rPr>
        <w:t>口溶膜剂生产过程中通常会用到基底材料，作为涂布载</w:t>
      </w:r>
      <w:r>
        <w:rPr>
          <w:w w:val="100"/>
        </w:rPr>
        <w:t> </w:t>
      </w:r>
      <w:r>
        <w:rPr>
          <w:spacing w:val="-3"/>
        </w:rPr>
        <w:t>体并在后续工序中去除，应提供基底材料的来源及选择依据。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2"/>
        </w:rPr>
        <w:t>应对生产过程中可能出现的更换基底材料的情况进行研究，</w:t>
      </w:r>
      <w:r>
        <w:rPr>
          <w:spacing w:val="-86"/>
        </w:rPr>
        <w:t> </w:t>
      </w:r>
      <w:r>
        <w:rPr>
          <w:spacing w:val="-86"/>
        </w:rPr>
      </w:r>
      <w:r>
        <w:rPr/>
        <w:t>制定商业化生产的控制措施。</w:t>
      </w:r>
    </w:p>
    <w:p>
      <w:pPr>
        <w:pStyle w:val="BodyText"/>
        <w:spacing w:line="338" w:lineRule="auto" w:before="48"/>
        <w:ind w:left="759" w:right="0"/>
        <w:jc w:val="left"/>
      </w:pPr>
      <w:r>
        <w:rPr>
          <w:rFonts w:ascii="Times New Roman" w:hAnsi="Times New Roman" w:cs="Times New Roman" w:eastAsia="Times New Roman"/>
        </w:rPr>
        <w:t>3</w:t>
      </w:r>
      <w:r>
        <w:rPr/>
        <w:t>、分切、裁切和包装</w:t>
      </w:r>
      <w:r>
        <w:rPr>
          <w:spacing w:val="-158"/>
        </w:rPr>
        <w:t> </w:t>
      </w:r>
      <w:r>
        <w:rPr>
          <w:spacing w:val="-158"/>
        </w:rPr>
      </w:r>
      <w:r>
        <w:rPr>
          <w:spacing w:val="-3"/>
        </w:rPr>
        <w:t>分切工艺将大卷药膜分切成小卷药膜，需考察的工艺参</w:t>
      </w:r>
    </w:p>
    <w:p>
      <w:pPr>
        <w:pStyle w:val="BodyText"/>
        <w:spacing w:line="357" w:lineRule="auto" w:before="69"/>
        <w:ind w:right="0"/>
        <w:jc w:val="left"/>
      </w:pPr>
      <w:r>
        <w:rPr>
          <w:spacing w:val="-3"/>
        </w:rPr>
        <w:t>数通常包括分切速度、分切尺寸等，需关注分切后药膜的完</w:t>
      </w:r>
      <w:r>
        <w:rPr>
          <w:spacing w:val="-96"/>
        </w:rPr>
        <w:t> </w:t>
      </w:r>
      <w:r>
        <w:rPr>
          <w:spacing w:val="-96"/>
        </w:rPr>
      </w:r>
      <w:r>
        <w:rPr/>
        <w:t>整性。</w:t>
      </w:r>
    </w:p>
    <w:p>
      <w:pPr>
        <w:pStyle w:val="BodyText"/>
        <w:spacing w:line="350" w:lineRule="auto" w:before="48"/>
        <w:ind w:right="0" w:firstLine="638"/>
        <w:jc w:val="left"/>
      </w:pPr>
      <w:r>
        <w:rPr>
          <w:spacing w:val="6"/>
        </w:rPr>
        <w:t>裁切工艺将分切后药膜进一步切割成目标尺寸</w:t>
      </w:r>
      <w:r>
        <w:rPr>
          <w:rFonts w:ascii="Times New Roman" w:hAnsi="Times New Roman" w:cs="Times New Roman" w:eastAsia="Times New Roman"/>
          <w:spacing w:val="6"/>
        </w:rPr>
        <w:t>/</w:t>
      </w:r>
      <w:r>
        <w:rPr>
          <w:spacing w:val="6"/>
        </w:rPr>
        <w:t>重量的</w:t>
      </w:r>
      <w:r>
        <w:rPr>
          <w:w w:val="100"/>
        </w:rPr>
        <w:t> </w:t>
      </w:r>
      <w:r>
        <w:rPr>
          <w:spacing w:val="-3"/>
        </w:rPr>
        <w:t>单剂量药膜，通常根据涂布干燥后药膜的含量计算裁切面积，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3"/>
        </w:rPr>
        <w:t>需要考察的参数通常包括裁切速度、裁切尺寸等。应加强过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程控制，在工艺研究及验证阶段选择合适的时间间隔进行取</w:t>
      </w:r>
      <w:r>
        <w:rPr>
          <w:spacing w:val="-95"/>
        </w:rPr>
        <w:t> </w:t>
      </w:r>
      <w:r>
        <w:rPr>
          <w:spacing w:val="-95"/>
        </w:rPr>
      </w:r>
      <w:r>
        <w:rPr/>
        <w:t>样，检测药膜的性状、水分、片重、片重差异、尺寸等。</w:t>
      </w:r>
    </w:p>
    <w:p>
      <w:pPr>
        <w:pStyle w:val="BodyText"/>
        <w:spacing w:line="357" w:lineRule="auto" w:before="58"/>
        <w:ind w:right="0" w:firstLine="638"/>
        <w:jc w:val="left"/>
      </w:pPr>
      <w:r>
        <w:rPr>
          <w:spacing w:val="3"/>
        </w:rPr>
        <w:t>包装工艺通常考察的参数包括包装热封温度、时间等，</w:t>
      </w:r>
      <w:r>
        <w:rPr>
          <w:spacing w:val="4"/>
          <w:w w:val="100"/>
        </w:rPr>
        <w:t> </w:t>
      </w:r>
      <w:r>
        <w:rPr>
          <w:spacing w:val="-3"/>
        </w:rPr>
        <w:t>包装过程中对药膜位置、药膜完整性全部进行监控，包装后</w:t>
      </w:r>
      <w:r>
        <w:rPr>
          <w:spacing w:val="-96"/>
        </w:rPr>
        <w:t> </w:t>
      </w:r>
      <w:r>
        <w:rPr>
          <w:spacing w:val="-96"/>
        </w:rPr>
      </w:r>
      <w:r>
        <w:rPr/>
        <w:t>进行密封性检测，确保包装完整性和密封性。</w:t>
      </w:r>
    </w:p>
    <w:p>
      <w:pPr>
        <w:spacing w:after="0" w:line="357" w:lineRule="auto"/>
        <w:jc w:val="left"/>
        <w:sectPr>
          <w:pgSz w:w="11910" w:h="16840"/>
          <w:pgMar w:header="0" w:footer="1247" w:top="1380" w:bottom="1440" w:left="1680" w:right="1360"/>
        </w:sectPr>
      </w:pPr>
    </w:p>
    <w:p>
      <w:pPr>
        <w:pStyle w:val="BodyText"/>
        <w:spacing w:line="357" w:lineRule="auto"/>
        <w:ind w:right="277" w:firstLine="638"/>
        <w:jc w:val="both"/>
      </w:pPr>
      <w:r>
        <w:rPr>
          <w:spacing w:val="10"/>
        </w:rPr>
        <w:t>应对单元操作之间任何中间体的存放条件及时间进行</w:t>
      </w:r>
      <w:r>
        <w:rPr>
          <w:w w:val="100"/>
        </w:rPr>
        <w:t> </w:t>
      </w:r>
      <w:r>
        <w:rPr/>
        <w:t>研究。</w:t>
      </w:r>
    </w:p>
    <w:p>
      <w:pPr>
        <w:pStyle w:val="BodyText"/>
        <w:spacing w:line="240" w:lineRule="auto" w:before="44"/>
        <w:ind w:left="759" w:right="1441"/>
        <w:jc w:val="left"/>
        <w:rPr>
          <w:rFonts w:ascii="宋体" w:hAnsi="宋体" w:cs="宋体" w:eastAsia="宋体"/>
        </w:rPr>
      </w:pPr>
      <w:bookmarkStart w:name="_bookmark5" w:id="6"/>
      <w:bookmarkEnd w:id="6"/>
      <w:r>
        <w:rPr/>
      </w:r>
      <w:r>
        <w:rPr>
          <w:rFonts w:ascii="宋体" w:hAnsi="宋体" w:cs="宋体" w:eastAsia="宋体"/>
        </w:rPr>
        <w:t>（三）包装系统研究</w:t>
      </w:r>
    </w:p>
    <w:p>
      <w:pPr>
        <w:pStyle w:val="BodyText"/>
        <w:spacing w:line="345" w:lineRule="auto" w:before="205"/>
        <w:ind w:right="272" w:firstLine="638"/>
        <w:jc w:val="both"/>
      </w:pPr>
      <w:r>
        <w:rPr>
          <w:spacing w:val="-3"/>
        </w:rPr>
        <w:t>口溶膜剂通常对环境湿度较为敏感，应选择阻隔性能较</w:t>
      </w:r>
      <w:r>
        <w:rPr>
          <w:w w:val="100"/>
        </w:rPr>
        <w:t> </w:t>
      </w:r>
      <w:r>
        <w:rPr>
          <w:spacing w:val="2"/>
        </w:rPr>
        <w:t>好的包装材料，常见的包装材料包括聚酯</w:t>
      </w:r>
      <w:r>
        <w:rPr>
          <w:rFonts w:ascii="Times New Roman" w:hAnsi="Times New Roman" w:cs="Times New Roman" w:eastAsia="Times New Roman"/>
          <w:spacing w:val="2"/>
        </w:rPr>
        <w:t>/</w:t>
      </w:r>
      <w:r>
        <w:rPr>
          <w:spacing w:val="2"/>
        </w:rPr>
        <w:t>铝</w:t>
      </w:r>
      <w:r>
        <w:rPr>
          <w:rFonts w:ascii="Times New Roman" w:hAnsi="Times New Roman" w:cs="Times New Roman" w:eastAsia="Times New Roman"/>
          <w:spacing w:val="2"/>
        </w:rPr>
        <w:t>/</w:t>
      </w:r>
      <w:r>
        <w:rPr>
          <w:spacing w:val="2"/>
        </w:rPr>
        <w:t>聚乙烯药用复</w:t>
      </w:r>
      <w:r>
        <w:rPr>
          <w:spacing w:val="-94"/>
        </w:rPr>
        <w:t> </w:t>
      </w:r>
      <w:r>
        <w:rPr>
          <w:spacing w:val="-94"/>
        </w:rPr>
      </w:r>
      <w:r>
        <w:rPr/>
        <w:t>合膜、纸</w:t>
      </w:r>
      <w:r>
        <w:rPr>
          <w:rFonts w:ascii="Times New Roman" w:hAnsi="Times New Roman" w:cs="Times New Roman" w:eastAsia="Times New Roman"/>
        </w:rPr>
        <w:t>/</w:t>
      </w:r>
      <w:r>
        <w:rPr/>
        <w:t>铝</w:t>
      </w:r>
      <w:r>
        <w:rPr>
          <w:rFonts w:ascii="Times New Roman" w:hAnsi="Times New Roman" w:cs="Times New Roman" w:eastAsia="Times New Roman"/>
        </w:rPr>
        <w:t>/</w:t>
      </w:r>
      <w:r>
        <w:rPr/>
        <w:t>聚乙烯药用复合膜等。</w:t>
      </w:r>
    </w:p>
    <w:p>
      <w:pPr>
        <w:pStyle w:val="BodyText"/>
        <w:spacing w:line="357" w:lineRule="auto" w:before="25"/>
        <w:ind w:right="270" w:firstLine="638"/>
        <w:jc w:val="both"/>
      </w:pPr>
      <w:r>
        <w:rPr>
          <w:spacing w:val="-3"/>
        </w:rPr>
        <w:t>申请人在产品开发时，根据药品的特性和临床使用情况</w:t>
      </w:r>
      <w:r>
        <w:rPr>
          <w:w w:val="100"/>
        </w:rPr>
        <w:t> </w:t>
      </w:r>
      <w:r>
        <w:rPr>
          <w:spacing w:val="-3"/>
        </w:rPr>
        <w:t>选择能保证口溶膜剂质量的包装系统，并提供选择依据。仿</w:t>
      </w:r>
      <w:r>
        <w:rPr>
          <w:spacing w:val="-95"/>
        </w:rPr>
        <w:t> </w:t>
      </w:r>
      <w:r>
        <w:rPr>
          <w:spacing w:val="-95"/>
        </w:rPr>
      </w:r>
      <w:r>
        <w:rPr/>
        <w:t>制药的包材性能应不低于参比制剂。</w:t>
      </w:r>
    </w:p>
    <w:p>
      <w:pPr>
        <w:pStyle w:val="BodyText"/>
        <w:spacing w:line="357" w:lineRule="auto" w:before="44"/>
        <w:ind w:right="272" w:firstLine="638"/>
        <w:jc w:val="both"/>
      </w:pPr>
      <w:r>
        <w:rPr>
          <w:spacing w:val="-3"/>
        </w:rPr>
        <w:t>口溶膜剂通常为单剂量包装，包装设计应能方便临床使</w:t>
      </w:r>
      <w:r>
        <w:rPr>
          <w:w w:val="100"/>
        </w:rPr>
        <w:t> </w:t>
      </w:r>
      <w:r>
        <w:rPr>
          <w:spacing w:val="-3"/>
        </w:rPr>
        <w:t>用，且在打开包装过程中不破坏药膜的完整性。根据包装设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9"/>
        </w:rPr>
        <w:t>计可选择易揭型复合膜或通过设计易撕口以方便患者打开</w:t>
      </w:r>
      <w:r>
        <w:rPr>
          <w:spacing w:val="-90"/>
        </w:rPr>
        <w:t> </w:t>
      </w:r>
      <w:r>
        <w:rPr>
          <w:spacing w:val="-90"/>
        </w:rPr>
      </w:r>
      <w:r>
        <w:rPr/>
        <w:t>包装。必要时可增加防儿童撕开的设计。</w:t>
      </w:r>
    </w:p>
    <w:p>
      <w:pPr>
        <w:pStyle w:val="BodyText"/>
        <w:spacing w:line="357" w:lineRule="auto" w:before="48"/>
        <w:ind w:right="0" w:firstLine="638"/>
        <w:jc w:val="left"/>
      </w:pPr>
      <w:r>
        <w:rPr>
          <w:spacing w:val="-9"/>
        </w:rPr>
        <w:t>产品开发时基于处方（如含易挥发性药物）和包材特性，</w:t>
      </w:r>
      <w:r>
        <w:rPr>
          <w:w w:val="100"/>
        </w:rPr>
        <w:t> </w:t>
      </w:r>
      <w:r>
        <w:rPr>
          <w:spacing w:val="-3"/>
        </w:rPr>
        <w:t>对包材相容性进行风险评估；同时根据稳定性试验相关项目</w:t>
      </w:r>
    </w:p>
    <w:p>
      <w:pPr>
        <w:pStyle w:val="BodyText"/>
        <w:spacing w:line="240" w:lineRule="auto" w:before="44"/>
        <w:ind w:right="0"/>
        <w:jc w:val="left"/>
      </w:pPr>
      <w:r>
        <w:rPr/>
        <w:t>（如有关物质等）考察结果判断产品与包材的相容性。</w:t>
      </w:r>
    </w:p>
    <w:p>
      <w:pPr>
        <w:pStyle w:val="BodyText"/>
        <w:spacing w:line="240" w:lineRule="auto" w:before="205"/>
        <w:ind w:left="759" w:right="1441"/>
        <w:jc w:val="left"/>
        <w:rPr>
          <w:rFonts w:ascii="宋体" w:hAnsi="宋体" w:cs="宋体" w:eastAsia="宋体"/>
        </w:rPr>
      </w:pPr>
      <w:bookmarkStart w:name="_bookmark6" w:id="7"/>
      <w:bookmarkEnd w:id="7"/>
      <w:r>
        <w:rPr/>
      </w:r>
      <w:r>
        <w:rPr>
          <w:rFonts w:ascii="宋体" w:hAnsi="宋体" w:cs="宋体" w:eastAsia="宋体"/>
        </w:rPr>
        <w:t>（四）批量</w:t>
      </w:r>
    </w:p>
    <w:p>
      <w:pPr>
        <w:pStyle w:val="BodyText"/>
        <w:spacing w:line="357" w:lineRule="auto" w:before="205"/>
        <w:ind w:right="268" w:firstLine="638"/>
        <w:jc w:val="both"/>
      </w:pPr>
      <w:r>
        <w:rPr>
          <w:spacing w:val="-3"/>
        </w:rPr>
        <w:t>注册批的生产规模可参照《化学药品新注册分类申报资</w:t>
      </w:r>
      <w:r>
        <w:rPr>
          <w:w w:val="100"/>
        </w:rPr>
        <w:t> </w:t>
      </w:r>
      <w:r>
        <w:rPr>
          <w:spacing w:val="-14"/>
        </w:rPr>
        <w:t>料要求》、《药物制剂人体生物利用度和生物等效性试验指导</w:t>
      </w:r>
      <w:r>
        <w:rPr>
          <w:spacing w:val="-113"/>
        </w:rPr>
        <w:t> </w:t>
      </w:r>
      <w:r>
        <w:rPr>
          <w:spacing w:val="-113"/>
        </w:rPr>
      </w:r>
      <w:r>
        <w:rPr>
          <w:spacing w:val="-14"/>
        </w:rPr>
        <w:t>原则》、《化学仿制药注册批生产规模的一般性要求》的相关</w:t>
      </w:r>
      <w:r>
        <w:rPr>
          <w:spacing w:val="-116"/>
        </w:rPr>
        <w:t> </w:t>
      </w:r>
      <w:r>
        <w:rPr>
          <w:spacing w:val="-116"/>
        </w:rPr>
      </w:r>
      <w:r>
        <w:rPr/>
        <w:t>要求执行。</w:t>
      </w:r>
    </w:p>
    <w:p>
      <w:pPr>
        <w:pStyle w:val="BodyText"/>
        <w:spacing w:line="240" w:lineRule="auto" w:before="149"/>
        <w:ind w:left="759" w:right="0"/>
        <w:jc w:val="left"/>
      </w:pPr>
      <w:r>
        <w:rPr>
          <w:spacing w:val="10"/>
        </w:rPr>
        <w:t>应合理拟定商业化生产批量，原则上应与代表性批次</w:t>
      </w:r>
    </w:p>
    <w:p>
      <w:pPr>
        <w:spacing w:after="0" w:line="240" w:lineRule="auto"/>
        <w:jc w:val="left"/>
        <w:sectPr>
          <w:pgSz w:w="11910" w:h="16840"/>
          <w:pgMar w:header="0" w:footer="1247" w:top="1380" w:bottom="1440" w:left="1680" w:right="1520"/>
        </w:sectPr>
      </w:pPr>
    </w:p>
    <w:p>
      <w:pPr>
        <w:pStyle w:val="BodyText"/>
        <w:spacing w:line="394" w:lineRule="exact"/>
        <w:ind w:right="0"/>
        <w:jc w:val="left"/>
      </w:pPr>
      <w:r>
        <w:rPr>
          <w:spacing w:val="2"/>
        </w:rPr>
        <w:t>（例如关键临床试验批、生物等效性试验批等）保持一致，</w:t>
      </w:r>
    </w:p>
    <w:p>
      <w:pPr>
        <w:pStyle w:val="BodyText"/>
        <w:spacing w:line="240" w:lineRule="auto" w:before="206"/>
        <w:ind w:right="0"/>
        <w:jc w:val="left"/>
      </w:pPr>
      <w:r>
        <w:rPr/>
        <w:t>建议不低于</w:t>
      </w:r>
      <w:r>
        <w:rPr>
          <w:spacing w:val="-77"/>
        </w:rPr>
        <w:t> </w:t>
      </w:r>
      <w:r>
        <w:rPr>
          <w:rFonts w:ascii="Times New Roman" w:hAnsi="Times New Roman" w:cs="Times New Roman" w:eastAsia="Times New Roman"/>
        </w:rPr>
        <w:t>10 </w:t>
      </w:r>
      <w:r>
        <w:rPr/>
        <w:t>万个制剂单位。</w:t>
      </w:r>
    </w:p>
    <w:p>
      <w:pPr>
        <w:pStyle w:val="BodyText"/>
        <w:spacing w:line="240" w:lineRule="auto" w:before="181"/>
        <w:ind w:left="759" w:right="0"/>
        <w:jc w:val="left"/>
        <w:rPr>
          <w:rFonts w:ascii="宋体" w:hAnsi="宋体" w:cs="宋体" w:eastAsia="宋体"/>
        </w:rPr>
      </w:pPr>
      <w:bookmarkStart w:name="_bookmark7" w:id="8"/>
      <w:bookmarkEnd w:id="8"/>
      <w:r>
        <w:rPr/>
      </w:r>
      <w:r>
        <w:rPr>
          <w:rFonts w:ascii="宋体" w:hAnsi="宋体" w:cs="宋体" w:eastAsia="宋体"/>
        </w:rPr>
        <w:t>四、质量研究与质量控制</w:t>
      </w:r>
    </w:p>
    <w:p>
      <w:pPr>
        <w:pStyle w:val="BodyText"/>
        <w:spacing w:line="345" w:lineRule="auto" w:before="205"/>
        <w:ind w:right="429" w:firstLine="638"/>
        <w:jc w:val="both"/>
      </w:pPr>
      <w:r>
        <w:rPr>
          <w:spacing w:val="-8"/>
        </w:rPr>
        <w:t>根据目标产品的质量概况（</w:t>
      </w:r>
      <w:r>
        <w:rPr>
          <w:rFonts w:ascii="Times New Roman" w:hAnsi="Times New Roman" w:cs="Times New Roman" w:eastAsia="Times New Roman"/>
          <w:spacing w:val="-8"/>
        </w:rPr>
        <w:t>QTPP</w:t>
      </w:r>
      <w:r>
        <w:rPr>
          <w:spacing w:val="-8"/>
        </w:rPr>
        <w:t>）确立制剂的关键质量</w:t>
      </w:r>
      <w:r>
        <w:rPr>
          <w:w w:val="100"/>
        </w:rPr>
        <w:t> </w:t>
      </w:r>
      <w:r>
        <w:rPr>
          <w:spacing w:val="-14"/>
        </w:rPr>
        <w:t>属性（</w:t>
      </w:r>
      <w:r>
        <w:rPr>
          <w:rFonts w:ascii="Times New Roman" w:hAnsi="Times New Roman" w:cs="Times New Roman" w:eastAsia="Times New Roman"/>
          <w:spacing w:val="-14"/>
        </w:rPr>
        <w:t>CQA</w:t>
      </w:r>
      <w:r>
        <w:rPr>
          <w:spacing w:val="-14"/>
        </w:rPr>
        <w:t>），进行针对性研究。口溶膜剂的</w:t>
      </w:r>
      <w:r>
        <w:rPr>
          <w:spacing w:val="-48"/>
        </w:rPr>
        <w:t> </w:t>
      </w:r>
      <w:r>
        <w:rPr>
          <w:rFonts w:ascii="Times New Roman" w:hAnsi="Times New Roman" w:cs="Times New Roman" w:eastAsia="Times New Roman"/>
        </w:rPr>
        <w:t>CQA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一般应包</w:t>
      </w:r>
      <w:r>
        <w:rPr>
          <w:spacing w:val="-156"/>
        </w:rPr>
        <w:t> </w:t>
      </w:r>
      <w:r>
        <w:rPr>
          <w:spacing w:val="-15"/>
        </w:rPr>
        <w:t>括但不限于性状、鉴别、含量、含量均匀度、水分、溶出度、</w:t>
      </w:r>
      <w:r>
        <w:rPr>
          <w:spacing w:val="-92"/>
        </w:rPr>
        <w:t> </w:t>
      </w:r>
      <w:r>
        <w:rPr>
          <w:spacing w:val="-92"/>
        </w:rPr>
      </w:r>
      <w:r>
        <w:rPr/>
        <w:t>溶化时限、机械性能、有关物质及微生物限度等。</w:t>
      </w:r>
    </w:p>
    <w:p>
      <w:pPr>
        <w:pStyle w:val="BodyText"/>
        <w:spacing w:line="338" w:lineRule="auto" w:before="65"/>
        <w:ind w:left="759" w:right="0"/>
        <w:jc w:val="left"/>
      </w:pPr>
      <w:r>
        <w:rPr>
          <w:rFonts w:ascii="Times New Roman" w:hAnsi="Times New Roman" w:cs="Times New Roman" w:eastAsia="Times New Roman"/>
        </w:rPr>
        <w:t>1</w:t>
      </w:r>
      <w:r>
        <w:rPr/>
        <w:t>、性状</w:t>
      </w:r>
      <w:r>
        <w:rPr>
          <w:spacing w:val="-158"/>
        </w:rPr>
        <w:t> </w:t>
      </w:r>
      <w:r>
        <w:rPr>
          <w:spacing w:val="-3"/>
        </w:rPr>
        <w:t>口溶膜剂应完整光洁、厚度一致、色泽均匀、无明显气</w:t>
      </w:r>
    </w:p>
    <w:p>
      <w:pPr>
        <w:pStyle w:val="BodyText"/>
        <w:spacing w:line="240" w:lineRule="auto" w:before="74"/>
        <w:ind w:right="0"/>
        <w:jc w:val="left"/>
      </w:pPr>
      <w:r>
        <w:rPr/>
        <w:t>泡。</w:t>
      </w:r>
    </w:p>
    <w:p>
      <w:pPr>
        <w:pStyle w:val="BodyText"/>
        <w:spacing w:line="338" w:lineRule="auto" w:before="205"/>
        <w:ind w:left="759" w:right="0"/>
        <w:jc w:val="left"/>
      </w:pPr>
      <w:r>
        <w:rPr>
          <w:rFonts w:ascii="Times New Roman" w:hAnsi="Times New Roman" w:cs="Times New Roman" w:eastAsia="Times New Roman"/>
        </w:rPr>
        <w:t>2</w:t>
      </w:r>
      <w:r>
        <w:rPr/>
        <w:t>、溶出行为及溶出度</w:t>
      </w:r>
      <w:r>
        <w:rPr>
          <w:spacing w:val="-158"/>
        </w:rPr>
        <w:t> </w:t>
      </w:r>
      <w:r>
        <w:rPr>
          <w:spacing w:val="-158"/>
        </w:rPr>
      </w:r>
      <w:r>
        <w:rPr>
          <w:spacing w:val="-3"/>
        </w:rPr>
        <w:t>应基于原料药的理化性质以及制剂特性，参考《普通口</w:t>
      </w:r>
    </w:p>
    <w:p>
      <w:pPr>
        <w:pStyle w:val="BodyText"/>
        <w:spacing w:line="357" w:lineRule="auto" w:before="74"/>
        <w:ind w:right="0"/>
        <w:jc w:val="left"/>
      </w:pPr>
      <w:r>
        <w:rPr>
          <w:spacing w:val="-3"/>
        </w:rPr>
        <w:t>服固体制剂溶出度试验技术指导原则》等技术要求，研究建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立溶出行为考察和溶出度检查方法，需要时可采用流通池法、</w:t>
      </w:r>
      <w:r>
        <w:rPr>
          <w:spacing w:val="-91"/>
        </w:rPr>
        <w:t> </w:t>
      </w:r>
      <w:r>
        <w:rPr>
          <w:spacing w:val="-91"/>
        </w:rPr>
      </w:r>
      <w:r>
        <w:rPr>
          <w:spacing w:val="-3"/>
        </w:rPr>
        <w:t>桨碟法等不同方法，并对方法的区分力进行考察，选择其中</w:t>
      </w:r>
      <w:r>
        <w:rPr>
          <w:spacing w:val="-96"/>
        </w:rPr>
        <w:t> </w:t>
      </w:r>
      <w:r>
        <w:rPr>
          <w:spacing w:val="-96"/>
        </w:rPr>
      </w:r>
      <w:r>
        <w:rPr/>
        <w:t>一种方法订入质量标准。</w:t>
      </w:r>
    </w:p>
    <w:p>
      <w:pPr>
        <w:pStyle w:val="BodyText"/>
        <w:spacing w:line="338" w:lineRule="auto" w:before="48"/>
        <w:ind w:left="759" w:right="0"/>
        <w:jc w:val="left"/>
      </w:pPr>
      <w:r>
        <w:rPr>
          <w:rFonts w:ascii="Times New Roman" w:hAnsi="Times New Roman" w:cs="Times New Roman" w:eastAsia="Times New Roman"/>
        </w:rPr>
        <w:t>3</w:t>
      </w:r>
      <w:r>
        <w:rPr/>
        <w:t>、水分</w:t>
      </w:r>
      <w:r>
        <w:rPr>
          <w:spacing w:val="-158"/>
        </w:rPr>
        <w:t> </w:t>
      </w:r>
      <w:r>
        <w:rPr>
          <w:spacing w:val="-3"/>
        </w:rPr>
        <w:t>水分含量可能影响膜的机械性能及化学稳定性。应根据</w:t>
      </w:r>
    </w:p>
    <w:p>
      <w:pPr>
        <w:pStyle w:val="BodyText"/>
        <w:spacing w:line="240" w:lineRule="auto" w:before="74"/>
        <w:ind w:right="0"/>
        <w:jc w:val="left"/>
      </w:pPr>
      <w:r>
        <w:rPr/>
        <w:t>研究确定适宜的上下限范围。</w:t>
      </w:r>
    </w:p>
    <w:p>
      <w:pPr>
        <w:pStyle w:val="BodyText"/>
        <w:spacing w:line="338" w:lineRule="auto" w:before="205"/>
        <w:ind w:left="759" w:right="0"/>
        <w:jc w:val="left"/>
      </w:pPr>
      <w:r>
        <w:rPr>
          <w:rFonts w:ascii="Times New Roman" w:hAnsi="Times New Roman" w:cs="Times New Roman" w:eastAsia="Times New Roman"/>
        </w:rPr>
        <w:t>4</w:t>
      </w:r>
      <w:r>
        <w:rPr/>
        <w:t>、溶化时限</w:t>
      </w:r>
      <w:r>
        <w:rPr>
          <w:spacing w:val="-155"/>
        </w:rPr>
        <w:t> </w:t>
      </w:r>
      <w:r>
        <w:rPr>
          <w:spacing w:val="3"/>
        </w:rPr>
        <w:t>口溶膜剂服用时通常无须饮水即能在口腔中快速溶化，</w:t>
      </w:r>
      <w:r>
        <w:rPr/>
      </w:r>
    </w:p>
    <w:p>
      <w:pPr>
        <w:pStyle w:val="BodyText"/>
        <w:spacing w:line="240" w:lineRule="auto" w:before="74"/>
        <w:ind w:right="0"/>
        <w:jc w:val="left"/>
      </w:pPr>
      <w:r>
        <w:rPr>
          <w:spacing w:val="-3"/>
        </w:rPr>
        <w:t>应对口溶膜的溶化时限进行研究。在建立溶化时限检查方法</w:t>
      </w:r>
    </w:p>
    <w:p>
      <w:pPr>
        <w:spacing w:after="0" w:line="240" w:lineRule="auto"/>
        <w:jc w:val="left"/>
        <w:sectPr>
          <w:pgSz w:w="11910" w:h="16840"/>
          <w:pgMar w:header="0" w:footer="1247" w:top="1500" w:bottom="1440" w:left="1680" w:right="1360"/>
        </w:sectPr>
      </w:pPr>
    </w:p>
    <w:p>
      <w:pPr>
        <w:pStyle w:val="BodyText"/>
        <w:spacing w:line="394" w:lineRule="exact"/>
        <w:ind w:right="0"/>
        <w:jc w:val="both"/>
      </w:pPr>
      <w:r>
        <w:rPr>
          <w:spacing w:val="-9"/>
        </w:rPr>
        <w:t>时，应模拟临床使用方法和使用环境，采用少量体积的介质，</w:t>
      </w:r>
    </w:p>
    <w:p>
      <w:pPr>
        <w:pStyle w:val="BodyText"/>
        <w:spacing w:line="357" w:lineRule="auto" w:before="206"/>
        <w:ind w:right="270"/>
        <w:jc w:val="both"/>
      </w:pPr>
      <w:r>
        <w:rPr>
          <w:spacing w:val="-3"/>
        </w:rPr>
        <w:t>制定合理控制限度。建议在临床试验期间收集受试者体内溶</w:t>
      </w:r>
      <w:r>
        <w:rPr>
          <w:spacing w:val="-95"/>
        </w:rPr>
        <w:t> </w:t>
      </w:r>
      <w:r>
        <w:rPr>
          <w:spacing w:val="-95"/>
        </w:rPr>
      </w:r>
      <w:r>
        <w:rPr/>
        <w:t>化时限数据，关注方法的体内外相关性。</w:t>
      </w:r>
    </w:p>
    <w:p>
      <w:pPr>
        <w:pStyle w:val="BodyText"/>
        <w:spacing w:line="338" w:lineRule="auto" w:before="48"/>
        <w:ind w:left="759" w:right="0"/>
        <w:jc w:val="left"/>
      </w:pPr>
      <w:r>
        <w:rPr>
          <w:rFonts w:ascii="Times New Roman" w:hAnsi="Times New Roman" w:cs="Times New Roman" w:eastAsia="Times New Roman"/>
        </w:rPr>
        <w:t>5</w:t>
      </w:r>
      <w:r>
        <w:rPr/>
        <w:t>、机械性能</w:t>
      </w:r>
      <w:r>
        <w:rPr>
          <w:spacing w:val="-155"/>
        </w:rPr>
        <w:t> </w:t>
      </w:r>
      <w:r>
        <w:rPr>
          <w:spacing w:val="3"/>
        </w:rPr>
        <w:t>口溶膜剂应具有适宜的机械性能，以避免生产、包装、</w:t>
      </w:r>
      <w:r>
        <w:rPr/>
      </w:r>
    </w:p>
    <w:p>
      <w:pPr>
        <w:pStyle w:val="BodyText"/>
        <w:spacing w:line="357" w:lineRule="auto" w:before="74"/>
        <w:ind w:right="272"/>
        <w:jc w:val="both"/>
      </w:pPr>
      <w:r>
        <w:rPr>
          <w:spacing w:val="-3"/>
        </w:rPr>
        <w:t>运输、使用过程中发生磨损或破碎。机械性能研究主要包括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抗拉强度、断裂伸长率、耐折度等，通常采用拉力测试仪或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质构分析仪测定膜剂的抗拉强度和断裂伸长率，评价膜剂的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强度和韧性；也可以采用其他方法评价膜的机械性能。结合</w:t>
      </w:r>
      <w:r>
        <w:rPr>
          <w:spacing w:val="-96"/>
        </w:rPr>
        <w:t> </w:t>
      </w:r>
      <w:r>
        <w:rPr>
          <w:spacing w:val="-96"/>
        </w:rPr>
      </w:r>
      <w:r>
        <w:rPr>
          <w:spacing w:val="-3"/>
        </w:rPr>
        <w:t>生产工艺可行性和批间一致性、模拟运输和临床使用质量符</w:t>
      </w:r>
      <w:r>
        <w:rPr>
          <w:spacing w:val="-96"/>
        </w:rPr>
        <w:t> </w:t>
      </w:r>
      <w:r>
        <w:rPr>
          <w:spacing w:val="-96"/>
        </w:rPr>
      </w:r>
      <w:r>
        <w:rPr/>
        <w:t>合性，确定合理限度。</w:t>
      </w:r>
    </w:p>
    <w:p>
      <w:pPr>
        <w:pStyle w:val="BodyText"/>
        <w:spacing w:line="357" w:lineRule="auto" w:before="48"/>
        <w:ind w:right="277" w:firstLine="638"/>
        <w:jc w:val="both"/>
      </w:pPr>
      <w:r>
        <w:rPr>
          <w:spacing w:val="10"/>
        </w:rPr>
        <w:t>测定机械性能时需要考虑环境温度和湿度对试验结果</w:t>
      </w:r>
      <w:r>
        <w:rPr>
          <w:w w:val="100"/>
        </w:rPr>
        <w:t> </w:t>
      </w:r>
      <w:r>
        <w:rPr/>
        <w:t>的影响。</w:t>
      </w:r>
    </w:p>
    <w:p>
      <w:pPr>
        <w:pStyle w:val="BodyText"/>
        <w:spacing w:line="240" w:lineRule="auto" w:before="48"/>
        <w:ind w:left="759" w:right="1441"/>
        <w:jc w:val="left"/>
      </w:pPr>
      <w:r>
        <w:rPr>
          <w:rFonts w:ascii="Times New Roman" w:hAnsi="Times New Roman" w:cs="Times New Roman" w:eastAsia="Times New Roman"/>
        </w:rPr>
        <w:t>6</w:t>
      </w:r>
      <w:r>
        <w:rPr/>
        <w:t>、其他</w:t>
      </w:r>
    </w:p>
    <w:p>
      <w:pPr>
        <w:pStyle w:val="BodyText"/>
        <w:spacing w:line="348" w:lineRule="auto" w:before="181"/>
        <w:ind w:right="270" w:firstLine="638"/>
        <w:jc w:val="both"/>
      </w:pPr>
      <w:r>
        <w:rPr/>
        <w:t>应参照 </w:t>
      </w:r>
      <w:r>
        <w:rPr>
          <w:rFonts w:ascii="Times New Roman" w:hAnsi="Times New Roman" w:cs="Times New Roman" w:eastAsia="Times New Roman"/>
          <w:spacing w:val="-4"/>
        </w:rPr>
        <w:t>ICH </w:t>
      </w:r>
      <w:r>
        <w:rPr>
          <w:rFonts w:ascii="Times New Roman" w:hAnsi="Times New Roman" w:cs="Times New Roman" w:eastAsia="Times New Roman"/>
        </w:rPr>
        <w:t>M7</w:t>
      </w:r>
      <w:r>
        <w:rPr/>
        <w:t>、</w:t>
      </w:r>
      <w:r>
        <w:rPr>
          <w:rFonts w:ascii="Times New Roman" w:hAnsi="Times New Roman" w:cs="Times New Roman" w:eastAsia="Times New Roman"/>
        </w:rPr>
        <w:t>ICH Q3D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等相关指导原则，通过科学</w:t>
      </w:r>
      <w:r>
        <w:rPr>
          <w:w w:val="100"/>
        </w:rPr>
        <w:t> </w:t>
      </w:r>
      <w:r>
        <w:rPr>
          <w:spacing w:val="-3"/>
        </w:rPr>
        <w:t>和基于风险的评估对潜在致突变杂质、亚硝胺杂质和元素杂</w:t>
      </w:r>
      <w:r>
        <w:rPr>
          <w:spacing w:val="-96"/>
        </w:rPr>
        <w:t> </w:t>
      </w:r>
      <w:r>
        <w:rPr>
          <w:spacing w:val="-96"/>
        </w:rPr>
      </w:r>
      <w:r>
        <w:rPr/>
        <w:t>质进行研究，并制定合理的控制策略。</w:t>
      </w:r>
    </w:p>
    <w:p>
      <w:pPr>
        <w:pStyle w:val="BodyText"/>
        <w:spacing w:line="357" w:lineRule="auto" w:before="61"/>
        <w:ind w:right="272" w:firstLine="638"/>
        <w:jc w:val="both"/>
      </w:pPr>
      <w:r>
        <w:rPr>
          <w:spacing w:val="-3"/>
        </w:rPr>
        <w:t>如生产工艺过程中使用到有机溶剂，应进行残留溶剂检</w:t>
      </w:r>
      <w:r>
        <w:rPr>
          <w:w w:val="100"/>
        </w:rPr>
        <w:t> </w:t>
      </w:r>
      <w:r>
        <w:rPr/>
        <w:t>查，根据研究结果制定合理控制策略。</w:t>
      </w:r>
    </w:p>
    <w:p>
      <w:pPr>
        <w:pStyle w:val="BodyText"/>
        <w:spacing w:line="357" w:lineRule="auto" w:before="48"/>
        <w:ind w:right="0" w:firstLine="638"/>
        <w:jc w:val="left"/>
      </w:pPr>
      <w:r>
        <w:rPr>
          <w:spacing w:val="-9"/>
        </w:rPr>
        <w:t>对于口溶膜剂其他关键质量属性，如含量、含量均匀度、</w:t>
      </w:r>
      <w:r>
        <w:rPr>
          <w:w w:val="100"/>
        </w:rPr>
        <w:t> </w:t>
      </w:r>
      <w:r>
        <w:rPr>
          <w:spacing w:val="-8"/>
        </w:rPr>
        <w:t>有关物质、微生物限度等，建议参照相关技术要求开展研究。</w:t>
      </w:r>
    </w:p>
    <w:p>
      <w:pPr>
        <w:pStyle w:val="BodyText"/>
        <w:spacing w:line="240" w:lineRule="auto" w:before="48"/>
        <w:ind w:left="759" w:right="0"/>
        <w:jc w:val="left"/>
      </w:pPr>
      <w:r>
        <w:rPr>
          <w:spacing w:val="-3"/>
        </w:rPr>
        <w:t>仿制药应与参比制剂进行全面的质量对比研究，且质量</w:t>
      </w:r>
    </w:p>
    <w:p>
      <w:pPr>
        <w:spacing w:after="0" w:line="240" w:lineRule="auto"/>
        <w:jc w:val="left"/>
        <w:sectPr>
          <w:pgSz w:w="11910" w:h="16840"/>
          <w:pgMar w:header="0" w:footer="1247" w:top="1500" w:bottom="1440" w:left="1680" w:right="1520"/>
        </w:sectPr>
      </w:pPr>
    </w:p>
    <w:p>
      <w:pPr>
        <w:pStyle w:val="BodyText"/>
        <w:spacing w:line="394" w:lineRule="exact"/>
        <w:ind w:left="759" w:right="0" w:hanging="639"/>
        <w:jc w:val="left"/>
      </w:pPr>
      <w:r>
        <w:rPr>
          <w:spacing w:val="2"/>
        </w:rPr>
        <w:t>不低于参比制剂。需要时，提供效期末质量对比研究数据。</w:t>
      </w:r>
    </w:p>
    <w:p>
      <w:pPr>
        <w:pStyle w:val="BodyText"/>
        <w:spacing w:line="240" w:lineRule="auto" w:before="206"/>
        <w:ind w:left="759" w:right="1441"/>
        <w:jc w:val="left"/>
        <w:rPr>
          <w:rFonts w:ascii="宋体" w:hAnsi="宋体" w:cs="宋体" w:eastAsia="宋体"/>
        </w:rPr>
      </w:pPr>
      <w:bookmarkStart w:name="_bookmark8" w:id="9"/>
      <w:bookmarkEnd w:id="9"/>
      <w:r>
        <w:rPr/>
      </w:r>
      <w:r>
        <w:rPr>
          <w:rFonts w:ascii="宋体" w:hAnsi="宋体" w:cs="宋体" w:eastAsia="宋体"/>
        </w:rPr>
        <w:t>五、稳定性研究</w:t>
      </w:r>
    </w:p>
    <w:p>
      <w:pPr>
        <w:pStyle w:val="BodyText"/>
        <w:spacing w:line="350" w:lineRule="auto" w:before="205"/>
        <w:ind w:right="269" w:firstLine="638"/>
        <w:jc w:val="both"/>
      </w:pPr>
      <w:r>
        <w:rPr/>
        <w:t>按照 </w:t>
      </w:r>
      <w:r>
        <w:rPr>
          <w:rFonts w:ascii="Times New Roman" w:hAnsi="Times New Roman" w:cs="Times New Roman" w:eastAsia="Times New Roman"/>
          <w:spacing w:val="-4"/>
        </w:rPr>
        <w:t>ICH</w:t>
      </w:r>
      <w:r>
        <w:rPr>
          <w:rFonts w:ascii="Times New Roman" w:hAnsi="Times New Roman" w:cs="Times New Roman" w:eastAsia="Times New Roman"/>
          <w:spacing w:val="-18"/>
        </w:rPr>
        <w:t> </w:t>
      </w:r>
      <w:r>
        <w:rPr>
          <w:rFonts w:ascii="Times New Roman" w:hAnsi="Times New Roman" w:cs="Times New Roman" w:eastAsia="Times New Roman"/>
          <w:spacing w:val="-10"/>
        </w:rPr>
        <w:t>Q1</w:t>
      </w:r>
      <w:r>
        <w:rPr>
          <w:spacing w:val="-10"/>
        </w:rPr>
        <w:t>、《化学药物（原料药和制剂）稳定性研究</w:t>
      </w:r>
      <w:r>
        <w:rPr>
          <w:w w:val="100"/>
        </w:rPr>
        <w:t> </w:t>
      </w:r>
      <w:r>
        <w:rPr>
          <w:spacing w:val="-14"/>
        </w:rPr>
        <w:t>技术指导原则（修订）》等开展口溶膜剂稳定性研究。稳定性</w:t>
      </w:r>
      <w:r>
        <w:rPr>
          <w:spacing w:val="-115"/>
        </w:rPr>
        <w:t> </w:t>
      </w:r>
      <w:r>
        <w:rPr>
          <w:spacing w:val="-115"/>
        </w:rPr>
      </w:r>
      <w:r>
        <w:rPr>
          <w:spacing w:val="-3"/>
        </w:rPr>
        <w:t>考察指标应包括机械性能、水分、溶出度、溶化时限等膜剂</w:t>
      </w:r>
      <w:r>
        <w:rPr>
          <w:spacing w:val="-96"/>
        </w:rPr>
        <w:t> </w:t>
      </w:r>
      <w:r>
        <w:rPr>
          <w:spacing w:val="-96"/>
        </w:rPr>
      </w:r>
      <w:r>
        <w:rPr/>
        <w:t>特性指标。</w:t>
      </w:r>
    </w:p>
    <w:p>
      <w:pPr>
        <w:pStyle w:val="BodyText"/>
        <w:spacing w:line="348" w:lineRule="auto" w:before="58"/>
        <w:ind w:right="0" w:firstLine="638"/>
        <w:jc w:val="left"/>
      </w:pPr>
      <w:r>
        <w:rPr>
          <w:spacing w:val="3"/>
        </w:rPr>
        <w:t>口溶膜剂通常为单剂量包装，打开包装后应尽快使用，</w:t>
      </w:r>
      <w:r>
        <w:rPr>
          <w:spacing w:val="4"/>
          <w:w w:val="100"/>
        </w:rPr>
        <w:t> </w:t>
      </w:r>
      <w:r>
        <w:rPr>
          <w:spacing w:val="-6"/>
        </w:rPr>
        <w:t>可基于稳定性研究及使用中稳定性（包括模拟极端干燥</w:t>
      </w:r>
      <w:r>
        <w:rPr>
          <w:rFonts w:ascii="Times New Roman" w:hAnsi="Times New Roman" w:cs="Times New Roman" w:eastAsia="Times New Roman"/>
          <w:spacing w:val="-6"/>
        </w:rPr>
        <w:t>/</w:t>
      </w:r>
      <w:r>
        <w:rPr>
          <w:spacing w:val="-6"/>
        </w:rPr>
        <w:t>潮湿</w:t>
      </w:r>
      <w:r>
        <w:rPr>
          <w:spacing w:val="-98"/>
        </w:rPr>
        <w:t> </w:t>
      </w:r>
      <w:r>
        <w:rPr/>
        <w:t>条件）研究，在说明书中进行规定。</w:t>
      </w:r>
    </w:p>
    <w:p>
      <w:pPr>
        <w:pStyle w:val="BodyText"/>
        <w:spacing w:line="240" w:lineRule="auto" w:before="61"/>
        <w:ind w:left="759" w:right="1441"/>
        <w:jc w:val="left"/>
      </w:pPr>
      <w:r>
        <w:rPr/>
        <w:t>仿制药的稳定性应不低于参比制剂。</w:t>
      </w:r>
    </w:p>
    <w:p>
      <w:pPr>
        <w:pStyle w:val="BodyText"/>
        <w:spacing w:line="240" w:lineRule="auto" w:before="205"/>
        <w:ind w:left="759" w:right="1441"/>
        <w:jc w:val="left"/>
        <w:rPr>
          <w:rFonts w:ascii="宋体" w:hAnsi="宋体" w:cs="宋体" w:eastAsia="宋体"/>
        </w:rPr>
      </w:pPr>
      <w:bookmarkStart w:name="_bookmark9" w:id="10"/>
      <w:bookmarkEnd w:id="10"/>
      <w:r>
        <w:rPr/>
      </w:r>
      <w:r>
        <w:rPr>
          <w:rFonts w:ascii="宋体" w:hAnsi="宋体" w:cs="宋体" w:eastAsia="宋体"/>
        </w:rPr>
        <w:t>六、参考文献</w:t>
      </w:r>
    </w:p>
    <w:p>
      <w:pPr>
        <w:pStyle w:val="BodyText"/>
        <w:spacing w:line="240" w:lineRule="auto" w:before="205"/>
        <w:ind w:left="75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1.  </w:t>
      </w:r>
      <w:r>
        <w:rPr/>
        <w:t>《中国药典》</w:t>
      </w:r>
      <w:r>
        <w:rPr>
          <w:rFonts w:ascii="Times New Roman" w:hAnsi="Times New Roman" w:cs="Times New Roman" w:eastAsia="Times New Roman"/>
        </w:rPr>
        <w:t>2020 </w:t>
      </w:r>
      <w:r>
        <w:rPr/>
        <w:t>年版四部通则 </w:t>
      </w:r>
      <w:r>
        <w:rPr>
          <w:rFonts w:ascii="Times New Roman" w:hAnsi="Times New Roman" w:cs="Times New Roman" w:eastAsia="Times New Roman"/>
        </w:rPr>
        <w:t>0125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膜剂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0" w:lineRule="auto" w:before="181"/>
        <w:ind w:left="75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2. </w:t>
      </w:r>
      <w:r>
        <w:rPr>
          <w:rFonts w:ascii="Times New Roman" w:hAnsi="Times New Roman" w:cs="Times New Roman" w:eastAsia="Times New Roman"/>
          <w:spacing w:val="-4"/>
        </w:rPr>
        <w:t>ICH </w:t>
      </w:r>
      <w:r>
        <w:rPr>
          <w:rFonts w:ascii="Times New Roman" w:hAnsi="Times New Roman" w:cs="Times New Roman" w:eastAsia="Times New Roman"/>
        </w:rPr>
        <w:t>Q8(R2): Pharmaceutical Development, 2009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年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38" w:lineRule="auto" w:before="181"/>
        <w:ind w:right="0" w:firstLine="63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3.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3"/>
        </w:rPr>
        <w:t>国家药品监督管理局药品审评中心</w:t>
      </w:r>
      <w:r>
        <w:rPr>
          <w:rFonts w:ascii="Times New Roman" w:hAnsi="Times New Roman" w:cs="Times New Roman" w:eastAsia="Times New Roman"/>
          <w:spacing w:val="3"/>
        </w:rPr>
        <w:t>.</w:t>
      </w:r>
      <w:r>
        <w:rPr>
          <w:spacing w:val="3"/>
        </w:rPr>
        <w:t>《化学药物制剂</w:t>
      </w:r>
      <w:r>
        <w:rPr>
          <w:spacing w:val="4"/>
          <w:w w:val="100"/>
        </w:rPr>
        <w:t> </w:t>
      </w:r>
      <w:r>
        <w:rPr/>
        <w:t>研究基本技术指导原则》</w:t>
      </w:r>
      <w:r>
        <w:rPr>
          <w:rFonts w:ascii="Times New Roman" w:hAnsi="Times New Roman" w:cs="Times New Roman" w:eastAsia="Times New Roman"/>
        </w:rPr>
        <w:t>.2005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年</w:t>
      </w:r>
      <w:r>
        <w:rPr>
          <w:spacing w:val="-83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月</w:t>
      </w:r>
      <w:r>
        <w:rPr>
          <w:rFonts w:ascii="Times New Roman" w:hAnsi="Times New Roman" w:cs="Times New Roman" w:eastAsia="Times New Roman"/>
        </w:rPr>
        <w:t>.</w:t>
      </w:r>
    </w:p>
    <w:p>
      <w:pPr>
        <w:spacing w:after="0" w:line="338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14"/>
          <w:pgSz w:w="11910" w:h="16840"/>
          <w:pgMar w:footer="1247" w:header="0" w:top="1500" w:bottom="1440" w:left="1680" w:right="1520"/>
          <w:pgNumType w:start="9"/>
        </w:sectPr>
      </w:pPr>
    </w:p>
    <w:p>
      <w:pPr>
        <w:pStyle w:val="BodyText"/>
        <w:spacing w:line="240" w:lineRule="auto" w:before="35"/>
        <w:ind w:left="75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4.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20"/>
        </w:rPr>
        <w:t>国家药品监督管理局药品审评中心《</w:t>
      </w:r>
      <w:r>
        <w:rPr>
          <w:rFonts w:ascii="Times New Roman" w:hAnsi="Times New Roman" w:cs="Times New Roman" w:eastAsia="Times New Roman"/>
          <w:spacing w:val="-20"/>
        </w:rPr>
        <w:t>.</w:t>
      </w:r>
    </w:p>
    <w:p>
      <w:pPr>
        <w:pStyle w:val="BodyText"/>
        <w:spacing w:line="240" w:lineRule="auto" w:before="35"/>
        <w:ind w:left="191" w:right="0"/>
        <w:jc w:val="left"/>
      </w:pPr>
      <w:r>
        <w:rPr>
          <w:spacing w:val="-14"/>
        </w:rPr>
        <w:br w:type="column"/>
      </w:r>
      <w:r>
        <w:rPr>
          <w:spacing w:val="-14"/>
        </w:rPr>
        <w:t>儿童用药（化学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80" w:right="1520"/>
          <w:cols w:num="2" w:equalWidth="0">
            <w:col w:w="6046" w:space="40"/>
            <w:col w:w="2624"/>
          </w:cols>
        </w:sectPr>
      </w:pPr>
    </w:p>
    <w:p>
      <w:pPr>
        <w:spacing w:line="240" w:lineRule="auto" w:before="8"/>
        <w:rPr>
          <w:rFonts w:ascii="宋体" w:hAnsi="宋体" w:cs="宋体" w:eastAsia="宋体"/>
          <w:sz w:val="13"/>
          <w:szCs w:val="13"/>
        </w:rPr>
      </w:pPr>
    </w:p>
    <w:p>
      <w:pPr>
        <w:pStyle w:val="BodyText"/>
        <w:spacing w:line="240" w:lineRule="auto" w:before="2"/>
        <w:ind w:right="1441"/>
        <w:jc w:val="left"/>
        <w:rPr>
          <w:rFonts w:ascii="Times New Roman" w:hAnsi="Times New Roman" w:cs="Times New Roman" w:eastAsia="Times New Roman"/>
        </w:rPr>
      </w:pPr>
      <w:r>
        <w:rPr>
          <w:spacing w:val="-10"/>
        </w:rPr>
        <w:t>药品）药学开发指导原则（试行）》</w:t>
      </w:r>
      <w:r>
        <w:rPr>
          <w:rFonts w:ascii="Times New Roman" w:hAnsi="Times New Roman" w:cs="Times New Roman" w:eastAsia="Times New Roman"/>
          <w:spacing w:val="-10"/>
        </w:rPr>
        <w:t>.2020 </w:t>
      </w:r>
      <w:r>
        <w:rPr/>
        <w:t>年 </w:t>
      </w:r>
      <w:r>
        <w:rPr>
          <w:rFonts w:ascii="Times New Roman" w:hAnsi="Times New Roman" w:cs="Times New Roman" w:eastAsia="Times New Roman"/>
        </w:rPr>
        <w:t>12</w:t>
      </w:r>
      <w:r>
        <w:rPr>
          <w:rFonts w:ascii="Times New Roman" w:hAnsi="Times New Roman" w:cs="Times New Roman" w:eastAsia="Times New Roman"/>
          <w:spacing w:val="-22"/>
        </w:rPr>
        <w:t> </w:t>
      </w:r>
      <w:r>
        <w:rPr/>
        <w:t>月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38" w:lineRule="auto" w:before="181"/>
        <w:ind w:right="0" w:firstLine="63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5.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3"/>
        </w:rPr>
        <w:t>国家药品监督管理局药品审评中心</w:t>
      </w:r>
      <w:r>
        <w:rPr>
          <w:rFonts w:ascii="Times New Roman" w:hAnsi="Times New Roman" w:cs="Times New Roman" w:eastAsia="Times New Roman"/>
          <w:spacing w:val="3"/>
        </w:rPr>
        <w:t>.</w:t>
      </w:r>
      <w:r>
        <w:rPr>
          <w:spacing w:val="3"/>
        </w:rPr>
        <w:t>《普通口服固体</w:t>
      </w:r>
      <w:r>
        <w:rPr>
          <w:spacing w:val="4"/>
          <w:w w:val="100"/>
        </w:rPr>
        <w:t> </w:t>
      </w:r>
      <w:r>
        <w:rPr/>
        <w:t>制剂溶出度试验技术指导原则》</w:t>
      </w:r>
      <w:r>
        <w:rPr>
          <w:rFonts w:ascii="Times New Roman" w:hAnsi="Times New Roman" w:cs="Times New Roman" w:eastAsia="Times New Roman"/>
        </w:rPr>
        <w:t>.2015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年</w:t>
      </w:r>
      <w:r>
        <w:rPr>
          <w:spacing w:val="-78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月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38" w:lineRule="auto" w:before="35"/>
        <w:ind w:right="0" w:firstLine="63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3"/>
        </w:rPr>
        <w:t>国家药品监督管理局药品审评中心</w:t>
      </w:r>
      <w:r>
        <w:rPr>
          <w:rFonts w:ascii="Times New Roman" w:hAnsi="Times New Roman" w:cs="Times New Roman" w:eastAsia="Times New Roman"/>
          <w:spacing w:val="3"/>
        </w:rPr>
        <w:t>.</w:t>
      </w:r>
      <w:r>
        <w:rPr>
          <w:spacing w:val="3"/>
        </w:rPr>
        <w:t>《儿童用药口感</w:t>
      </w:r>
      <w:r>
        <w:rPr>
          <w:spacing w:val="4"/>
          <w:w w:val="100"/>
        </w:rPr>
        <w:t> </w:t>
      </w:r>
      <w:r>
        <w:rPr/>
        <w:t>设计与评价的技术指导原则》</w:t>
      </w:r>
      <w:r>
        <w:rPr>
          <w:rFonts w:ascii="Times New Roman" w:hAnsi="Times New Roman" w:cs="Times New Roman" w:eastAsia="Times New Roman"/>
        </w:rPr>
        <w:t>.2022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80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240" w:lineRule="auto" w:before="106" w:after="0"/>
        <w:ind w:left="120" w:right="0" w:firstLine="639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USP-NF2024 </w:t>
      </w:r>
      <w:r>
        <w:rPr>
          <w:rFonts w:ascii="Times New Roman"/>
          <w:spacing w:val="-3"/>
          <w:sz w:val="32"/>
        </w:rPr>
        <w:t>General </w:t>
      </w:r>
      <w:r>
        <w:rPr>
          <w:rFonts w:ascii="Times New Roman"/>
          <w:sz w:val="32"/>
        </w:rPr>
        <w:t>Chapters &lt;1151&gt;:</w:t>
      </w:r>
      <w:r>
        <w:rPr>
          <w:rFonts w:ascii="Times New Roman"/>
          <w:spacing w:val="52"/>
          <w:sz w:val="32"/>
        </w:rPr>
        <w:t> </w:t>
      </w:r>
      <w:r>
        <w:rPr>
          <w:rFonts w:ascii="Times New Roman"/>
          <w:sz w:val="32"/>
        </w:rPr>
        <w:t>Pharmaceutical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1910" w:h="16840"/>
          <w:pgMar w:top="1580" w:bottom="280" w:left="1680" w:right="1520"/>
        </w:sectPr>
      </w:pPr>
    </w:p>
    <w:p>
      <w:pPr>
        <w:pStyle w:val="BodyText"/>
        <w:spacing w:line="240" w:lineRule="auto" w:before="4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Dosage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Forms.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256" w:after="0"/>
        <w:ind w:left="1084" w:right="0" w:hanging="325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USP-NF2024 </w:t>
      </w:r>
      <w:r>
        <w:rPr>
          <w:rFonts w:ascii="Times New Roman"/>
          <w:spacing w:val="-3"/>
          <w:sz w:val="32"/>
        </w:rPr>
        <w:t>General </w:t>
      </w:r>
      <w:r>
        <w:rPr>
          <w:rFonts w:ascii="Times New Roman"/>
          <w:sz w:val="32"/>
        </w:rPr>
        <w:t>Chapters &lt;711&gt;:</w:t>
      </w:r>
      <w:r>
        <w:rPr>
          <w:rFonts w:ascii="Times New Roman"/>
          <w:spacing w:val="-6"/>
          <w:sz w:val="32"/>
        </w:rPr>
        <w:t> </w:t>
      </w:r>
      <w:r>
        <w:rPr>
          <w:rFonts w:ascii="Times New Roman"/>
          <w:sz w:val="32"/>
        </w:rPr>
        <w:t>Dissolution.</w:t>
      </w:r>
    </w:p>
    <w:p>
      <w:pPr>
        <w:pStyle w:val="ListParagraph"/>
        <w:numPr>
          <w:ilvl w:val="0"/>
          <w:numId w:val="1"/>
        </w:numPr>
        <w:tabs>
          <w:tab w:pos="1345" w:val="left" w:leader="none"/>
        </w:tabs>
        <w:spacing w:line="408" w:lineRule="auto" w:before="256" w:after="0"/>
        <w:ind w:left="120" w:right="115" w:firstLine="639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pacing w:val="-4"/>
          <w:sz w:val="32"/>
        </w:rPr>
        <w:t>EP11.5 </w:t>
      </w:r>
      <w:r>
        <w:rPr>
          <w:rFonts w:ascii="Times New Roman"/>
          <w:spacing w:val="-3"/>
          <w:sz w:val="32"/>
        </w:rPr>
        <w:t>General </w:t>
      </w:r>
      <w:r>
        <w:rPr>
          <w:rFonts w:ascii="Times New Roman"/>
          <w:sz w:val="32"/>
        </w:rPr>
        <w:t>Chapters &lt;1807&gt;:</w:t>
      </w:r>
      <w:r>
        <w:rPr>
          <w:rFonts w:ascii="Times New Roman"/>
          <w:spacing w:val="41"/>
          <w:sz w:val="32"/>
        </w:rPr>
        <w:t> </w:t>
      </w:r>
      <w:r>
        <w:rPr>
          <w:rFonts w:ascii="Times New Roman"/>
          <w:sz w:val="32"/>
        </w:rPr>
        <w:t>Oromucosal</w:t>
      </w:r>
      <w:r>
        <w:rPr>
          <w:rFonts w:ascii="Times New Roman"/>
          <w:w w:val="100"/>
          <w:sz w:val="32"/>
        </w:rPr>
        <w:t> </w:t>
      </w:r>
      <w:r>
        <w:rPr>
          <w:rFonts w:ascii="Times New Roman"/>
          <w:sz w:val="32"/>
        </w:rPr>
        <w:t>Preparations.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</w:tabs>
        <w:spacing w:line="384" w:lineRule="auto" w:before="8" w:after="0"/>
        <w:ind w:left="120" w:right="111" w:firstLine="639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pacing w:val="-4"/>
          <w:sz w:val="32"/>
          <w:szCs w:val="32"/>
        </w:rPr>
        <w:t>ICH</w:t>
      </w:r>
      <w:r>
        <w:rPr>
          <w:rFonts w:ascii="Times New Roman" w:hAnsi="Times New Roman" w:cs="Times New Roman" w:eastAsia="Times New Roman"/>
          <w:spacing w:val="-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M7(R2):</w:t>
      </w:r>
      <w:r>
        <w:rPr>
          <w:rFonts w:ascii="Times New Roman" w:hAnsi="Times New Roman" w:cs="Times New Roman" w:eastAsia="Times New Roman"/>
          <w:spacing w:val="-2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Assessment</w:t>
      </w:r>
      <w:r>
        <w:rPr>
          <w:rFonts w:ascii="Times New Roman" w:hAnsi="Times New Roman" w:cs="Times New Roman" w:eastAsia="Times New Roman"/>
          <w:spacing w:val="-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-3"/>
          <w:sz w:val="32"/>
          <w:szCs w:val="32"/>
        </w:rPr>
        <w:t>and</w:t>
      </w:r>
      <w:r>
        <w:rPr>
          <w:rFonts w:ascii="Times New Roman" w:hAnsi="Times New Roman" w:cs="Times New Roman" w:eastAsia="Times New Roman"/>
          <w:spacing w:val="-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Control</w:t>
      </w:r>
      <w:r>
        <w:rPr>
          <w:rFonts w:ascii="Times New Roman" w:hAnsi="Times New Roman" w:cs="Times New Roman" w:eastAsia="Times New Roman"/>
          <w:spacing w:val="-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of</w:t>
      </w:r>
      <w:r>
        <w:rPr>
          <w:rFonts w:ascii="Times New Roman" w:hAnsi="Times New Roman" w:cs="Times New Roman" w:eastAsia="Times New Roman"/>
          <w:spacing w:val="-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DNA</w:t>
      </w:r>
      <w:r>
        <w:rPr>
          <w:rFonts w:ascii="Times New Roman" w:hAnsi="Times New Roman" w:cs="Times New Roman" w:eastAsia="Times New Roman"/>
          <w:spacing w:val="-2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Reactive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(Mutagenic) Impurities in Pharmaceuticals to Limit</w:t>
      </w:r>
      <w:r>
        <w:rPr>
          <w:rFonts w:ascii="Times New Roman" w:hAnsi="Times New Roman" w:cs="Times New Roman" w:eastAsia="Times New Roman"/>
          <w:spacing w:val="5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Potential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Carcinogenic Risk, 2023</w:t>
      </w:r>
      <w:r>
        <w:rPr>
          <w:rFonts w:ascii="Times New Roman" w:hAnsi="Times New Roman" w:cs="Times New Roman" w:eastAsia="Times New Roman"/>
          <w:spacing w:val="-5"/>
          <w:sz w:val="32"/>
          <w:szCs w:val="32"/>
        </w:rPr>
        <w:t> </w:t>
      </w:r>
      <w:r>
        <w:rPr>
          <w:rFonts w:ascii="宋体" w:hAnsi="宋体" w:cs="宋体" w:eastAsia="宋体"/>
          <w:sz w:val="32"/>
          <w:szCs w:val="32"/>
        </w:rPr>
        <w:t>年</w:t>
      </w:r>
      <w:r>
        <w:rPr>
          <w:rFonts w:ascii="Times New Roman" w:hAnsi="Times New Roman" w:cs="Times New Roman" w:eastAsia="Times New Roman"/>
          <w:sz w:val="32"/>
          <w:szCs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412" w:lineRule="exact" w:before="0" w:after="0"/>
        <w:ind w:left="1233" w:right="0" w:hanging="474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pacing w:val="-4"/>
          <w:sz w:val="32"/>
          <w:szCs w:val="32"/>
        </w:rPr>
        <w:t>ICH </w:t>
      </w:r>
      <w:r>
        <w:rPr>
          <w:rFonts w:ascii="Times New Roman" w:hAnsi="Times New Roman" w:cs="Times New Roman" w:eastAsia="Times New Roman"/>
          <w:sz w:val="32"/>
          <w:szCs w:val="32"/>
        </w:rPr>
        <w:t>Q3D: Guideline for Elemental Impurities, </w:t>
      </w:r>
      <w:r>
        <w:rPr>
          <w:rFonts w:ascii="Times New Roman" w:hAnsi="Times New Roman" w:cs="Times New Roman" w:eastAsia="Times New Roman"/>
          <w:spacing w:val="-3"/>
          <w:sz w:val="32"/>
          <w:szCs w:val="32"/>
        </w:rPr>
        <w:t>2022</w:t>
      </w:r>
      <w:r>
        <w:rPr>
          <w:rFonts w:ascii="Times New Roman" w:hAnsi="Times New Roman" w:cs="Times New Roman" w:eastAsia="Times New Roman"/>
          <w:spacing w:val="3"/>
          <w:sz w:val="32"/>
          <w:szCs w:val="32"/>
        </w:rPr>
        <w:t> </w:t>
      </w:r>
      <w:r>
        <w:rPr>
          <w:rFonts w:ascii="宋体" w:hAnsi="宋体" w:cs="宋体" w:eastAsia="宋体"/>
          <w:sz w:val="32"/>
          <w:szCs w:val="32"/>
        </w:rPr>
        <w:t>年</w:t>
      </w:r>
      <w:r>
        <w:rPr>
          <w:rFonts w:ascii="Times New Roman" w:hAnsi="Times New Roman" w:cs="Times New Roman" w:eastAsia="Times New Roman"/>
          <w:sz w:val="32"/>
          <w:szCs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1225" w:val="left" w:leader="none"/>
        </w:tabs>
        <w:spacing w:line="398" w:lineRule="auto" w:before="181" w:after="0"/>
        <w:ind w:left="120" w:right="116" w:firstLine="639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spacing w:val="-3"/>
          <w:sz w:val="32"/>
          <w:szCs w:val="32"/>
        </w:rPr>
        <w:t>WHO</w:t>
      </w:r>
      <w:r>
        <w:rPr>
          <w:rFonts w:ascii="宋体" w:hAnsi="宋体" w:cs="宋体" w:eastAsia="宋体"/>
          <w:spacing w:val="-3"/>
          <w:sz w:val="32"/>
          <w:szCs w:val="32"/>
        </w:rPr>
        <w:t>．</w:t>
      </w:r>
      <w:r>
        <w:rPr>
          <w:rFonts w:ascii="Times New Roman" w:hAnsi="Times New Roman" w:cs="Times New Roman" w:eastAsia="Times New Roman"/>
          <w:spacing w:val="-3"/>
          <w:sz w:val="32"/>
          <w:szCs w:val="32"/>
        </w:rPr>
        <w:t>WHO</w:t>
      </w:r>
      <w:r>
        <w:rPr>
          <w:rFonts w:ascii="Times New Roman" w:hAnsi="Times New Roman" w:cs="Times New Roman" w:eastAsia="Times New Roman"/>
          <w:spacing w:val="-1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Prequalification</w:t>
      </w:r>
      <w:r>
        <w:rPr>
          <w:rFonts w:ascii="Times New Roman" w:hAnsi="Times New Roman" w:cs="Times New Roman" w:eastAsia="Times New Roman"/>
          <w:spacing w:val="-1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-3"/>
          <w:sz w:val="32"/>
          <w:szCs w:val="32"/>
        </w:rPr>
        <w:t>Unit</w:t>
      </w:r>
      <w:r>
        <w:rPr>
          <w:rFonts w:ascii="Times New Roman" w:hAnsi="Times New Roman" w:cs="Times New Roman" w:eastAsia="Times New Roman"/>
          <w:spacing w:val="-1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–</w:t>
      </w:r>
      <w:r>
        <w:rPr>
          <w:rFonts w:ascii="Times New Roman" w:hAnsi="Times New Roman" w:cs="Times New Roman" w:eastAsia="Times New Roman"/>
          <w:spacing w:val="-1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Medicines</w:t>
      </w:r>
      <w:r>
        <w:rPr>
          <w:rFonts w:ascii="Times New Roman" w:hAnsi="Times New Roman" w:cs="Times New Roman" w:eastAsia="Times New Roman"/>
          <w:spacing w:val="-1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request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to manufacturers to conduct risk assessments to evaluate</w:t>
      </w:r>
      <w:r>
        <w:rPr>
          <w:rFonts w:ascii="Times New Roman" w:hAnsi="Times New Roman" w:cs="Times New Roman" w:eastAsia="Times New Roman"/>
          <w:spacing w:val="4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the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potential for the presence of nitrosamine impurities</w:t>
      </w:r>
      <w:r>
        <w:rPr>
          <w:rFonts w:ascii="Times New Roman" w:hAnsi="Times New Roman" w:cs="Times New Roman" w:eastAsia="Times New Roman"/>
          <w:spacing w:val="7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z w:val="32"/>
          <w:szCs w:val="32"/>
        </w:rPr>
        <w:t>[EB/OL]</w:t>
      </w:r>
      <w:r>
        <w:rPr>
          <w:rFonts w:ascii="Times New Roman" w:hAnsi="Times New Roman" w:cs="Times New Roman" w:eastAsia="Times New Roman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-2"/>
          <w:sz w:val="32"/>
          <w:szCs w:val="32"/>
        </w:rPr>
        <w:t>https://extranet.who.int/prequal/news/who-prequalification-unit-</w:t>
      </w:r>
      <w:r>
        <w:rPr>
          <w:rFonts w:ascii="Times New Roman" w:hAnsi="Times New Roman" w:cs="Times New Roman" w:eastAsia="Times New Roman"/>
          <w:spacing w:val="1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spacing w:val="18"/>
          <w:sz w:val="32"/>
          <w:szCs w:val="32"/>
        </w:rPr>
      </w:r>
      <w:r>
        <w:rPr>
          <w:rFonts w:ascii="Times New Roman" w:hAnsi="Times New Roman" w:cs="Times New Roman" w:eastAsia="Times New Roman"/>
          <w:sz w:val="32"/>
          <w:szCs w:val="32"/>
        </w:rPr>
        <w:t>medicines-request-manufacturers-conduct-risk-assessments-</w:t>
      </w:r>
    </w:p>
    <w:p>
      <w:pPr>
        <w:pStyle w:val="BodyText"/>
        <w:spacing w:line="240" w:lineRule="auto" w:before="2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evaluate.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2290" w:val="left" w:leader="none"/>
          <w:tab w:pos="4305" w:val="left" w:leader="none"/>
        </w:tabs>
        <w:spacing w:line="408" w:lineRule="auto" w:before="256" w:after="0"/>
        <w:ind w:left="120" w:right="111" w:firstLine="639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pacing w:val="-4"/>
          <w:sz w:val="32"/>
        </w:rPr>
        <w:t>FDA. </w:t>
      </w:r>
      <w:r>
        <w:rPr>
          <w:rFonts w:ascii="Times New Roman"/>
          <w:sz w:val="32"/>
        </w:rPr>
        <w:t>Updated Information-Recommended</w:t>
      </w:r>
      <w:r>
        <w:rPr>
          <w:rFonts w:ascii="Times New Roman"/>
          <w:spacing w:val="19"/>
          <w:sz w:val="32"/>
        </w:rPr>
        <w:t> </w:t>
      </w:r>
      <w:r>
        <w:rPr>
          <w:rFonts w:ascii="Times New Roman"/>
          <w:sz w:val="32"/>
        </w:rPr>
        <w:t>Acceptable</w:t>
      </w:r>
      <w:r>
        <w:rPr>
          <w:rFonts w:ascii="Times New Roman"/>
          <w:w w:val="100"/>
          <w:sz w:val="32"/>
        </w:rPr>
        <w:t> </w:t>
      </w:r>
      <w:r>
        <w:rPr>
          <w:rFonts w:ascii="Times New Roman"/>
          <w:sz w:val="32"/>
        </w:rPr>
        <w:t>Intake</w:t>
      </w:r>
      <w:r>
        <w:rPr>
          <w:rFonts w:ascii="Times New Roman"/>
          <w:spacing w:val="-27"/>
          <w:sz w:val="32"/>
        </w:rPr>
        <w:t> </w:t>
      </w:r>
      <w:r>
        <w:rPr>
          <w:rFonts w:ascii="Times New Roman"/>
          <w:sz w:val="32"/>
        </w:rPr>
        <w:t>Limits</w:t>
      </w:r>
      <w:r>
        <w:rPr>
          <w:rFonts w:ascii="Times New Roman"/>
          <w:spacing w:val="-23"/>
          <w:sz w:val="32"/>
        </w:rPr>
        <w:t> </w:t>
      </w:r>
      <w:r>
        <w:rPr>
          <w:rFonts w:ascii="Times New Roman"/>
          <w:sz w:val="32"/>
        </w:rPr>
        <w:t>for</w:t>
      </w:r>
      <w:r>
        <w:rPr>
          <w:rFonts w:ascii="Times New Roman"/>
          <w:spacing w:val="-25"/>
          <w:sz w:val="32"/>
        </w:rPr>
        <w:t> </w:t>
      </w:r>
      <w:r>
        <w:rPr>
          <w:rFonts w:ascii="Times New Roman"/>
          <w:sz w:val="32"/>
        </w:rPr>
        <w:t>Nitrosamine</w:t>
      </w:r>
      <w:r>
        <w:rPr>
          <w:rFonts w:ascii="Times New Roman"/>
          <w:spacing w:val="-27"/>
          <w:sz w:val="32"/>
        </w:rPr>
        <w:t> </w:t>
      </w:r>
      <w:r>
        <w:rPr>
          <w:rFonts w:ascii="Times New Roman"/>
          <w:sz w:val="32"/>
        </w:rPr>
        <w:t>Drug</w:t>
      </w:r>
      <w:r>
        <w:rPr>
          <w:rFonts w:ascii="Times New Roman"/>
          <w:spacing w:val="-25"/>
          <w:sz w:val="32"/>
        </w:rPr>
        <w:t> </w:t>
      </w:r>
      <w:r>
        <w:rPr>
          <w:rFonts w:ascii="Times New Roman"/>
          <w:sz w:val="32"/>
        </w:rPr>
        <w:t>Substance-Related</w:t>
      </w:r>
      <w:r>
        <w:rPr>
          <w:rFonts w:ascii="Times New Roman"/>
          <w:spacing w:val="-21"/>
          <w:sz w:val="32"/>
        </w:rPr>
        <w:t> </w:t>
      </w:r>
      <w:r>
        <w:rPr>
          <w:rFonts w:ascii="Times New Roman"/>
          <w:sz w:val="32"/>
        </w:rPr>
        <w:t>Impurities</w:t>
      </w:r>
      <w:r>
        <w:rPr>
          <w:rFonts w:ascii="Times New Roman"/>
          <w:w w:val="100"/>
          <w:sz w:val="32"/>
        </w:rPr>
        <w:t> </w:t>
      </w:r>
      <w:r>
        <w:rPr>
          <w:rFonts w:ascii="Times New Roman"/>
          <w:spacing w:val="-2"/>
          <w:sz w:val="32"/>
        </w:rPr>
        <w:t>(NDSRIs)</w:t>
        <w:tab/>
        <w:t>[EB/OL]</w:t>
        <w:tab/>
        <w:t>https://</w:t>
      </w:r>
      <w:hyperlink r:id="rId16">
        <w:r>
          <w:rPr>
            <w:rFonts w:ascii="Times New Roman"/>
            <w:spacing w:val="-2"/>
            <w:sz w:val="32"/>
          </w:rPr>
          <w:t>www.fda.gov/regulatory-</w:t>
        </w:r>
      </w:hyperlink>
      <w:r>
        <w:rPr>
          <w:rFonts w:ascii="Times New Roman"/>
          <w:spacing w:val="-59"/>
          <w:sz w:val="32"/>
        </w:rPr>
        <w:t> </w:t>
      </w:r>
      <w:r>
        <w:rPr>
          <w:rFonts w:ascii="Times New Roman"/>
          <w:spacing w:val="-59"/>
          <w:sz w:val="32"/>
        </w:rPr>
      </w:r>
      <w:r>
        <w:rPr>
          <w:rFonts w:ascii="Times New Roman"/>
          <w:sz w:val="32"/>
        </w:rPr>
        <w:t>information/search-fda-guidance-documents/updated-</w:t>
      </w:r>
      <w:r>
        <w:rPr>
          <w:rFonts w:ascii="Times New Roman"/>
          <w:w w:val="100"/>
          <w:sz w:val="32"/>
        </w:rPr>
        <w:t> </w:t>
      </w:r>
      <w:r>
        <w:rPr>
          <w:rFonts w:ascii="Times New Roman"/>
          <w:sz w:val="32"/>
        </w:rPr>
        <w:t>information-recommended-acceptable-intake-limits-</w:t>
      </w:r>
    </w:p>
    <w:p>
      <w:pPr>
        <w:pStyle w:val="BodyText"/>
        <w:spacing w:line="240" w:lineRule="auto" w:before="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nitrosamine-drug-substance-related.</w:t>
      </w:r>
    </w:p>
    <w:p>
      <w:pPr>
        <w:pStyle w:val="ListParagraph"/>
        <w:numPr>
          <w:ilvl w:val="0"/>
          <w:numId w:val="1"/>
        </w:numPr>
        <w:tabs>
          <w:tab w:pos="1782" w:val="left" w:leader="none"/>
        </w:tabs>
        <w:spacing w:line="408" w:lineRule="auto" w:before="256" w:after="0"/>
        <w:ind w:left="120" w:right="112" w:firstLine="639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32"/>
        </w:rPr>
        <w:t>EMA Nitrosamine impurities.</w:t>
      </w:r>
      <w:r>
        <w:rPr>
          <w:rFonts w:ascii="Times New Roman"/>
          <w:spacing w:val="71"/>
          <w:sz w:val="32"/>
        </w:rPr>
        <w:t> </w:t>
      </w:r>
      <w:r>
        <w:rPr>
          <w:rFonts w:ascii="Times New Roman"/>
          <w:spacing w:val="-3"/>
          <w:sz w:val="32"/>
        </w:rPr>
        <w:t>[EB/OL]</w:t>
      </w:r>
      <w:r>
        <w:rPr>
          <w:rFonts w:ascii="Times New Roman"/>
          <w:w w:val="100"/>
          <w:sz w:val="32"/>
        </w:rPr>
        <w:t> </w:t>
      </w:r>
      <w:r>
        <w:rPr>
          <w:rFonts w:ascii="Times New Roman"/>
          <w:spacing w:val="-2"/>
          <w:sz w:val="32"/>
        </w:rPr>
        <w:t>https://</w:t>
      </w:r>
      <w:hyperlink r:id="rId17">
        <w:r>
          <w:rPr>
            <w:rFonts w:ascii="Times New Roman"/>
            <w:spacing w:val="-2"/>
            <w:sz w:val="32"/>
          </w:rPr>
          <w:t>www.ema.europa.eu/en/human-regulatory-overview/post-</w:t>
        </w:r>
      </w:hyperlink>
    </w:p>
    <w:p>
      <w:pPr>
        <w:spacing w:after="0" w:line="408" w:lineRule="auto"/>
        <w:jc w:val="both"/>
        <w:rPr>
          <w:rFonts w:ascii="Times New Roman" w:hAnsi="Times New Roman" w:cs="Times New Roman" w:eastAsia="Times New Roman"/>
          <w:sz w:val="32"/>
          <w:szCs w:val="32"/>
        </w:rPr>
        <w:sectPr>
          <w:footerReference w:type="default" r:id="rId15"/>
          <w:pgSz w:w="11910" w:h="16840"/>
          <w:pgMar w:footer="1247" w:header="0" w:top="1500" w:bottom="1440" w:left="1680" w:right="1680"/>
          <w:pgNumType w:start="10"/>
        </w:sectPr>
      </w:pPr>
    </w:p>
    <w:p>
      <w:pPr>
        <w:pStyle w:val="BodyText"/>
        <w:spacing w:line="408" w:lineRule="auto" w:before="45"/>
        <w:ind w:right="67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authorisation/pharmacovigilance-post-authorisation/referral-</w:t>
      </w:r>
      <w:r>
        <w:rPr>
          <w:rFonts w:ascii="Times New Roman"/>
        </w:rPr>
        <w:t> </w:t>
      </w:r>
      <w:r>
        <w:rPr>
          <w:rFonts w:ascii="Times New Roman"/>
        </w:rPr>
        <w:t>procedures-human-medicines/nitrosamine-impurities.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  <w:tab w:pos="2241" w:val="left" w:leader="none"/>
          <w:tab w:pos="3809" w:val="left" w:leader="none"/>
          <w:tab w:pos="5152" w:val="left" w:leader="none"/>
          <w:tab w:pos="6355" w:val="left" w:leader="none"/>
          <w:tab w:pos="6888" w:val="left" w:leader="none"/>
          <w:tab w:pos="7756" w:val="left" w:leader="none"/>
        </w:tabs>
        <w:spacing w:line="408" w:lineRule="auto" w:before="8" w:after="0"/>
        <w:ind w:left="120" w:right="126" w:firstLine="639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pacing w:val="-4"/>
          <w:sz w:val="32"/>
        </w:rPr>
        <w:t>ICH</w:t>
        <w:tab/>
      </w:r>
      <w:r>
        <w:rPr>
          <w:rFonts w:ascii="Times New Roman"/>
          <w:spacing w:val="-1"/>
          <w:sz w:val="32"/>
        </w:rPr>
        <w:t>Q1A(R2):</w:t>
        <w:tab/>
        <w:t>Stability</w:t>
        <w:tab/>
      </w:r>
      <w:r>
        <w:rPr>
          <w:rFonts w:ascii="Times New Roman"/>
          <w:spacing w:val="-5"/>
          <w:sz w:val="32"/>
        </w:rPr>
        <w:t>Testing</w:t>
        <w:tab/>
      </w:r>
      <w:r>
        <w:rPr>
          <w:rFonts w:ascii="Times New Roman"/>
          <w:spacing w:val="-2"/>
          <w:sz w:val="32"/>
        </w:rPr>
        <w:t>of</w:t>
        <w:tab/>
      </w:r>
      <w:r>
        <w:rPr>
          <w:rFonts w:ascii="Times New Roman"/>
          <w:spacing w:val="-1"/>
          <w:sz w:val="32"/>
        </w:rPr>
        <w:t>New</w:t>
        <w:tab/>
        <w:t>Drug</w:t>
      </w:r>
      <w:r>
        <w:rPr>
          <w:rFonts w:ascii="Times New Roman"/>
          <w:w w:val="100"/>
          <w:sz w:val="32"/>
        </w:rPr>
        <w:t> </w:t>
      </w:r>
      <w:r>
        <w:rPr>
          <w:rFonts w:ascii="Times New Roman"/>
          <w:sz w:val="32"/>
        </w:rPr>
        <w:t>Substances and Products,</w:t>
      </w:r>
      <w:r>
        <w:rPr>
          <w:rFonts w:ascii="Times New Roman"/>
          <w:spacing w:val="-5"/>
          <w:sz w:val="32"/>
        </w:rPr>
        <w:t> </w:t>
      </w:r>
      <w:r>
        <w:rPr>
          <w:rFonts w:ascii="Times New Roman"/>
          <w:sz w:val="32"/>
        </w:rPr>
        <w:t>2003.</w:t>
      </w:r>
    </w:p>
    <w:p>
      <w:pPr>
        <w:pStyle w:val="BodyText"/>
        <w:spacing w:line="381" w:lineRule="exact"/>
        <w:ind w:left="759" w:right="0"/>
        <w:jc w:val="left"/>
      </w:pPr>
      <w:r>
        <w:rPr>
          <w:rFonts w:ascii="Times New Roman" w:hAnsi="Times New Roman" w:cs="Times New Roman" w:eastAsia="Times New Roman"/>
        </w:rPr>
        <w:t>16. 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3"/>
        </w:rPr>
        <w:t>国家药品监督管理局药品审评中心</w:t>
      </w:r>
      <w:r>
        <w:rPr>
          <w:rFonts w:ascii="Times New Roman" w:hAnsi="Times New Roman" w:cs="Times New Roman" w:eastAsia="Times New Roman"/>
          <w:spacing w:val="-3"/>
        </w:rPr>
        <w:t>.</w:t>
      </w:r>
      <w:r>
        <w:rPr>
          <w:spacing w:val="-3"/>
        </w:rPr>
        <w:t>《化学药物（原</w:t>
      </w:r>
    </w:p>
    <w:p>
      <w:pPr>
        <w:pStyle w:val="BodyText"/>
        <w:spacing w:line="240" w:lineRule="auto" w:before="181"/>
        <w:ind w:right="0"/>
        <w:jc w:val="left"/>
        <w:rPr>
          <w:rFonts w:ascii="Times New Roman" w:hAnsi="Times New Roman" w:cs="Times New Roman" w:eastAsia="Times New Roman"/>
        </w:rPr>
      </w:pPr>
      <w:r>
        <w:rPr/>
        <w:t>料药和制剂）稳定性研究技术指导原则》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2015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年</w:t>
      </w:r>
      <w:r>
        <w:rPr>
          <w:spacing w:val="-76"/>
        </w:rPr>
        <w:t> </w:t>
      </w:r>
      <w:r>
        <w:rPr>
          <w:rFonts w:ascii="Times New Roman" w:hAnsi="Times New Roman" w:cs="Times New Roman" w:eastAsia="Times New Roman"/>
        </w:rPr>
        <w:t>02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月</w:t>
      </w:r>
      <w:r>
        <w:rPr>
          <w:rFonts w:ascii="Times New Roman" w:hAnsi="Times New Roman" w:cs="Times New Roman" w:eastAsia="Times New Roman"/>
        </w:rPr>
        <w:t>.</w:t>
      </w:r>
    </w:p>
    <w:sectPr>
      <w:pgSz w:w="11910" w:h="16840"/>
      <w:pgMar w:header="0" w:footer="1247" w:top="1500" w:bottom="14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等线">
    <w:altName w:val="等线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0007pt;margin-top:768.549988pt;width:8.85pt;height:11.15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等线" w:hAnsi="等线" w:cs="等线" w:eastAsia="等线"/>
                    <w:sz w:val="18"/>
                    <w:szCs w:val="18"/>
                  </w:rPr>
                </w:pPr>
                <w:r>
                  <w:rPr>
                    <w:rFonts w:ascii="等线"/>
                    <w:w w:val="101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等线"/>
                    <w:w w:val="10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等线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320007pt;margin-top:768.549988pt;width:8.85pt;height:11.15pt;mso-position-horizontal-relative:page;mso-position-vertical-relative:page;z-index:-7744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等线" w:hAnsi="等线" w:cs="等线" w:eastAsia="等线"/>
                    <w:sz w:val="18"/>
                    <w:szCs w:val="18"/>
                  </w:rPr>
                </w:pPr>
                <w:r>
                  <w:rPr>
                    <w:rFonts w:ascii="等线"/>
                    <w:w w:val="101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等线"/>
                    <w:w w:val="10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等线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920013pt;margin-top:768.549988pt;width:13.65pt;height:11.15pt;mso-position-horizontal-relative:page;mso-position-vertical-relative:page;z-index:-7720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等线" w:hAnsi="等线" w:cs="等线" w:eastAsia="等线"/>
                    <w:sz w:val="18"/>
                    <w:szCs w:val="18"/>
                  </w:rPr>
                </w:pPr>
                <w:r>
                  <w:rPr>
                    <w:rFonts w:ascii="等线"/>
                    <w:w w:val="101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等线"/>
                    <w:w w:val="10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等线"/>
                    <w:spacing w:val="-1"/>
                    <w:w w:val="101"/>
                    <w:sz w:val="18"/>
                  </w:rPr>
                </w:r>
                <w:r>
                  <w:rPr>
                    <w:rFonts w:ascii="等线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"/>
      <w:numFmt w:val="decimal"/>
      <w:lvlText w:val="%1."/>
      <w:lvlJc w:val="left"/>
      <w:pPr>
        <w:ind w:left="120" w:hanging="340"/>
        <w:jc w:val="left"/>
      </w:pPr>
      <w:rPr>
        <w:rFonts w:hint="default" w:ascii="Times New Roman" w:hAnsi="Times New Roman" w:eastAsia="Times New Roman"/>
        <w:spacing w:val="1"/>
        <w:w w:val="100"/>
        <w:sz w:val="32"/>
        <w:szCs w:val="32"/>
      </w:rPr>
    </w:lvl>
    <w:lvl w:ilvl="1">
      <w:start w:val="1"/>
      <w:numFmt w:val="bullet"/>
      <w:lvlText w:val="•"/>
      <w:lvlJc w:val="left"/>
      <w:pPr>
        <w:ind w:left="978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36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0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8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7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yperlink" Target="http://www.fda.gov/regulatory-" TargetMode="External"/><Relationship Id="rId17" Type="http://schemas.openxmlformats.org/officeDocument/2006/relationships/hyperlink" Target="http://www.ema.europa.eu/en/human-regulatory-overview/post-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2025-08-14T11:33:37Z</dcterms:created>
  <dcterms:modified xsi:type="dcterms:W3CDTF">2025-08-14T11:33:37Z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</Properties>
</file>