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5E0F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CA89E2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08DCBF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737B69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C4306E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D52B3B9">
      <w:pPr>
        <w:spacing w:before="9" w:line="240" w:lineRule="auto"/>
        <w:rPr>
          <w:rFonts w:ascii="Times New Roman" w:hAnsi="Times New Roman" w:eastAsia="Times New Roman" w:cs="Times New Roman"/>
          <w:sz w:val="12"/>
          <w:szCs w:val="12"/>
        </w:rPr>
      </w:pPr>
    </w:p>
    <w:p w14:paraId="42B46840">
      <w:pPr>
        <w:spacing w:line="523" w:lineRule="exact"/>
        <w:ind w:left="1411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9"/>
          <w:sz w:val="20"/>
          <w:szCs w:val="20"/>
        </w:rPr>
        <w:drawing>
          <wp:inline distT="0" distB="0" distL="0" distR="0">
            <wp:extent cx="4472940" cy="3321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4C69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26111DB">
      <w:pPr>
        <w:spacing w:before="11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17C132A3">
      <w:pPr>
        <w:spacing w:line="523" w:lineRule="exact"/>
        <w:ind w:left="3833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9"/>
          <w:sz w:val="20"/>
          <w:szCs w:val="20"/>
        </w:rPr>
        <w:drawing>
          <wp:inline distT="0" distB="0" distL="0" distR="0">
            <wp:extent cx="1396365" cy="33210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6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598A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822832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DCBE4B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6D49C8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4D402A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841876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8FBEFC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8AE2C9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48CFEC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21DC08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E643DF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11CA79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35F662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6F1DA6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4DB2C7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8596A2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953301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B016A3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042E3E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52798C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3C1212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D84FCE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985D1E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8D1658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A5294F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CC11F4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08CB98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C80E41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58AC05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CC3E57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2FF2AC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BE549F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ADEFCC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B5AF6B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C56B95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FFD1B2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D1415A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1B45E0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F5DEB92">
      <w:pPr>
        <w:spacing w:before="2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22DE48A7">
      <w:pPr>
        <w:pStyle w:val="2"/>
        <w:spacing w:before="0" w:line="240" w:lineRule="auto"/>
        <w:ind w:left="1675" w:right="0" w:firstLine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国家药品监督管理局食品药品审核查验中心</w:t>
      </w:r>
    </w:p>
    <w:p w14:paraId="147B8E6E">
      <w:pPr>
        <w:spacing w:after="0" w:line="240" w:lineRule="auto"/>
        <w:jc w:val="left"/>
        <w:rPr>
          <w:rFonts w:ascii="宋体" w:hAnsi="宋体" w:eastAsia="宋体" w:cs="宋体"/>
        </w:rPr>
        <w:sectPr>
          <w:pgSz w:w="11910" w:h="16840"/>
          <w:pgMar w:top="1580" w:right="1660" w:bottom="280" w:left="1680" w:header="720" w:footer="720" w:gutter="0"/>
          <w:cols w:space="720" w:num="1"/>
        </w:sectPr>
      </w:pPr>
    </w:p>
    <w:p w14:paraId="21E7BDFE">
      <w:pPr>
        <w:spacing w:before="2" w:line="240" w:lineRule="auto"/>
        <w:rPr>
          <w:rFonts w:ascii="宋体" w:hAnsi="宋体" w:eastAsia="宋体" w:cs="宋体"/>
          <w:sz w:val="10"/>
          <w:szCs w:val="10"/>
        </w:rPr>
      </w:pPr>
    </w:p>
    <w:p w14:paraId="114BC984">
      <w:pPr>
        <w:pStyle w:val="2"/>
        <w:spacing w:before="0" w:line="240" w:lineRule="auto"/>
        <w:ind w:left="1" w:right="0" w:firstLine="0"/>
        <w:jc w:val="center"/>
      </w:pPr>
      <w:r>
        <w:t>目录</w:t>
      </w:r>
    </w:p>
    <w:p w14:paraId="470A2482">
      <w:pPr>
        <w:pStyle w:val="2"/>
        <w:tabs>
          <w:tab w:val="right" w:leader="dot" w:pos="8307"/>
        </w:tabs>
        <w:spacing w:before="642" w:line="240" w:lineRule="auto"/>
        <w:ind w:left="1" w:right="0" w:firstLine="0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t>一、概述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</w:rPr>
        <w:fldChar w:fldCharType="end"/>
      </w:r>
    </w:p>
    <w:p w14:paraId="46FDE56D">
      <w:pPr>
        <w:pStyle w:val="2"/>
        <w:tabs>
          <w:tab w:val="right" w:leader="dot" w:pos="8307"/>
        </w:tabs>
        <w:spacing w:before="282" w:line="240" w:lineRule="auto"/>
        <w:ind w:left="1" w:right="0" w:firstLine="0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t>二、质量管理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</w:rPr>
        <w:fldChar w:fldCharType="end"/>
      </w:r>
    </w:p>
    <w:p w14:paraId="20F4502B">
      <w:pPr>
        <w:pStyle w:val="2"/>
        <w:tabs>
          <w:tab w:val="right" w:leader="dot" w:pos="8307"/>
        </w:tabs>
        <w:spacing w:before="279" w:line="240" w:lineRule="auto"/>
        <w:ind w:left="1" w:right="0" w:firstLine="0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t>三、组织机构和人员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fldChar w:fldCharType="end"/>
      </w:r>
    </w:p>
    <w:p w14:paraId="772021C1">
      <w:pPr>
        <w:pStyle w:val="2"/>
        <w:tabs>
          <w:tab w:val="right" w:leader="dot" w:pos="8427"/>
        </w:tabs>
        <w:spacing w:before="282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t>（一）工作人员总体要求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</w:rPr>
        <w:fldChar w:fldCharType="end"/>
      </w:r>
    </w:p>
    <w:p w14:paraId="12716021">
      <w:pPr>
        <w:pStyle w:val="2"/>
        <w:tabs>
          <w:tab w:val="right" w:leader="dot" w:pos="8427"/>
        </w:tabs>
        <w:spacing w:before="282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t>（二）实验室负责人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</w:rPr>
        <w:fldChar w:fldCharType="end"/>
      </w:r>
    </w:p>
    <w:p w14:paraId="5C3A8C26">
      <w:pPr>
        <w:pStyle w:val="2"/>
        <w:tabs>
          <w:tab w:val="right" w:leader="dot" w:pos="8427"/>
        </w:tabs>
        <w:spacing w:before="279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"_bookmark5" </w:instrText>
      </w:r>
      <w:r>
        <w:fldChar w:fldCharType="separate"/>
      </w:r>
      <w:r>
        <w:t>（三）质量保证负责人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</w:rPr>
        <w:fldChar w:fldCharType="end"/>
      </w:r>
    </w:p>
    <w:p w14:paraId="3C042F94">
      <w:pPr>
        <w:pStyle w:val="2"/>
        <w:tabs>
          <w:tab w:val="right" w:leader="dot" w:pos="8427"/>
        </w:tabs>
        <w:spacing w:before="282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"_bookmark6" </w:instrText>
      </w:r>
      <w:r>
        <w:fldChar w:fldCharType="separate"/>
      </w:r>
      <w:r>
        <w:t>（四）项目负责人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</w:rPr>
        <w:fldChar w:fldCharType="end"/>
      </w:r>
    </w:p>
    <w:p w14:paraId="3916EE94">
      <w:pPr>
        <w:pStyle w:val="2"/>
        <w:tabs>
          <w:tab w:val="right" w:leader="dot" w:pos="8427"/>
        </w:tabs>
        <w:spacing w:before="282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"_bookmark7" </w:instrText>
      </w:r>
      <w:r>
        <w:fldChar w:fldCharType="separate"/>
      </w:r>
      <w:r>
        <w:t>（五）分析检测人员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</w:rPr>
        <w:fldChar w:fldCharType="end"/>
      </w:r>
    </w:p>
    <w:p w14:paraId="5CF5D757">
      <w:pPr>
        <w:pStyle w:val="2"/>
        <w:tabs>
          <w:tab w:val="right" w:leader="dot" w:pos="8307"/>
        </w:tabs>
        <w:spacing w:before="279" w:line="240" w:lineRule="auto"/>
        <w:ind w:left="1" w:right="0" w:firstLine="0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"_bookmark8" </w:instrText>
      </w:r>
      <w:r>
        <w:fldChar w:fldCharType="separate"/>
      </w:r>
      <w:r>
        <w:t>四、设施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</w:rPr>
        <w:fldChar w:fldCharType="end"/>
      </w:r>
    </w:p>
    <w:p w14:paraId="3DBE9EAD">
      <w:pPr>
        <w:pStyle w:val="2"/>
        <w:tabs>
          <w:tab w:val="right" w:leader="dot" w:pos="8427"/>
        </w:tabs>
        <w:spacing w:before="282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"_bookmark9" </w:instrText>
      </w:r>
      <w:r>
        <w:fldChar w:fldCharType="separate"/>
      </w:r>
      <w:r>
        <w:t>（一）实验设施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</w:rPr>
        <w:fldChar w:fldCharType="end"/>
      </w:r>
    </w:p>
    <w:p w14:paraId="59CA1B84">
      <w:pPr>
        <w:pStyle w:val="2"/>
        <w:tabs>
          <w:tab w:val="right" w:leader="dot" w:pos="8427"/>
        </w:tabs>
        <w:spacing w:before="282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"_bookmark10" </w:instrText>
      </w:r>
      <w:r>
        <w:fldChar w:fldCharType="separate"/>
      </w:r>
      <w:r>
        <w:t>（二）档案设施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9</w:t>
      </w:r>
      <w:r>
        <w:rPr>
          <w:rFonts w:ascii="Times New Roman" w:hAnsi="Times New Roman" w:eastAsia="Times New Roman" w:cs="Times New Roman"/>
        </w:rPr>
        <w:fldChar w:fldCharType="end"/>
      </w:r>
    </w:p>
    <w:p w14:paraId="62995E22">
      <w:pPr>
        <w:pStyle w:val="2"/>
        <w:tabs>
          <w:tab w:val="right" w:leader="dot" w:pos="8430"/>
        </w:tabs>
        <w:spacing w:before="279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"_bookmark11" </w:instrText>
      </w:r>
      <w:r>
        <w:fldChar w:fldCharType="separate"/>
      </w:r>
      <w:r>
        <w:t>（三）废物处理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</w:rPr>
        <w:fldChar w:fldCharType="end"/>
      </w:r>
    </w:p>
    <w:p w14:paraId="5F58E853">
      <w:pPr>
        <w:pStyle w:val="2"/>
        <w:tabs>
          <w:tab w:val="right" w:leader="dot" w:pos="8315"/>
        </w:tabs>
        <w:spacing w:before="282" w:line="240" w:lineRule="auto"/>
        <w:ind w:left="4" w:right="0" w:firstLine="0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"_bookmark12" </w:instrText>
      </w:r>
      <w:r>
        <w:fldChar w:fldCharType="separate"/>
      </w:r>
      <w:r>
        <w:t>五、仪器设备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</w:rPr>
        <w:fldChar w:fldCharType="end"/>
      </w:r>
    </w:p>
    <w:p w14:paraId="45619F84">
      <w:pPr>
        <w:pStyle w:val="2"/>
        <w:tabs>
          <w:tab w:val="right" w:leader="dot" w:pos="8315"/>
        </w:tabs>
        <w:spacing w:before="282" w:line="240" w:lineRule="auto"/>
        <w:ind w:left="4" w:right="0" w:firstLine="0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"_bookmark13" </w:instrText>
      </w:r>
      <w:r>
        <w:fldChar w:fldCharType="separate"/>
      </w:r>
      <w:r>
        <w:t>六、计算机化系统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11</w:t>
      </w:r>
      <w:r>
        <w:rPr>
          <w:rFonts w:ascii="Times New Roman" w:hAnsi="Times New Roman" w:eastAsia="Times New Roman" w:cs="Times New Roman"/>
        </w:rPr>
        <w:fldChar w:fldCharType="end"/>
      </w:r>
    </w:p>
    <w:p w14:paraId="5231A501">
      <w:pPr>
        <w:pStyle w:val="2"/>
        <w:tabs>
          <w:tab w:val="right" w:leader="dot" w:pos="8315"/>
        </w:tabs>
        <w:spacing w:before="280" w:line="240" w:lineRule="auto"/>
        <w:ind w:left="4" w:right="0" w:firstLine="0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"_bookmark14" </w:instrText>
      </w:r>
      <w:r>
        <w:fldChar w:fldCharType="separate"/>
      </w:r>
      <w:r>
        <w:t>七、关键实验材料和试剂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</w:rPr>
        <w:fldChar w:fldCharType="end"/>
      </w:r>
    </w:p>
    <w:p w14:paraId="30A210ED">
      <w:pPr>
        <w:pStyle w:val="2"/>
        <w:tabs>
          <w:tab w:val="right" w:leader="dot" w:pos="8315"/>
        </w:tabs>
        <w:spacing w:before="282" w:line="240" w:lineRule="auto"/>
        <w:ind w:left="4" w:right="0" w:firstLine="0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"_bookmark15" </w:instrText>
      </w:r>
      <w:r>
        <w:fldChar w:fldCharType="separate"/>
      </w:r>
      <w:r>
        <w:t>八、生物样品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13</w:t>
      </w:r>
      <w:r>
        <w:rPr>
          <w:rFonts w:ascii="Times New Roman" w:hAnsi="Times New Roman" w:eastAsia="Times New Roman" w:cs="Times New Roman"/>
        </w:rPr>
        <w:fldChar w:fldCharType="end"/>
      </w:r>
    </w:p>
    <w:p w14:paraId="2A604F0C">
      <w:pPr>
        <w:pStyle w:val="2"/>
        <w:tabs>
          <w:tab w:val="right" w:leader="dot" w:pos="8430"/>
        </w:tabs>
        <w:spacing w:before="282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"_bookmark16" </w:instrText>
      </w:r>
      <w:r>
        <w:fldChar w:fldCharType="separate"/>
      </w:r>
      <w:r>
        <w:t>（一）生物样品的转运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14</w:t>
      </w:r>
      <w:r>
        <w:rPr>
          <w:rFonts w:ascii="Times New Roman" w:hAnsi="Times New Roman" w:eastAsia="Times New Roman" w:cs="Times New Roman"/>
        </w:rPr>
        <w:fldChar w:fldCharType="end"/>
      </w:r>
    </w:p>
    <w:p w14:paraId="6ECE8E9E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pgSz w:w="11910" w:h="16840"/>
          <w:pgMar w:top="1580" w:right="1680" w:bottom="280" w:left="1680" w:header="720" w:footer="720" w:gutter="0"/>
          <w:cols w:space="720" w:num="1"/>
        </w:sectPr>
      </w:pPr>
    </w:p>
    <w:p w14:paraId="0675958C">
      <w:pPr>
        <w:pStyle w:val="2"/>
        <w:tabs>
          <w:tab w:val="right" w:leader="dot" w:pos="8430"/>
        </w:tabs>
        <w:spacing w:before="0" w:line="416" w:lineRule="exact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"_bookmark17" </w:instrText>
      </w:r>
      <w:r>
        <w:fldChar w:fldCharType="separate"/>
      </w:r>
      <w:r>
        <w:t>（二）生物样品的接收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14</w:t>
      </w:r>
      <w:r>
        <w:rPr>
          <w:rFonts w:ascii="Times New Roman" w:hAnsi="Times New Roman" w:eastAsia="Times New Roman" w:cs="Times New Roman"/>
        </w:rPr>
        <w:fldChar w:fldCharType="end"/>
      </w:r>
    </w:p>
    <w:p w14:paraId="4A97E804">
      <w:pPr>
        <w:pStyle w:val="2"/>
        <w:tabs>
          <w:tab w:val="right" w:leader="dot" w:pos="8430"/>
        </w:tabs>
        <w:spacing w:before="282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"_bookmark18" </w:instrText>
      </w:r>
      <w:r>
        <w:fldChar w:fldCharType="separate"/>
      </w:r>
      <w:r>
        <w:t>（三）生物样品的保存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14</w:t>
      </w:r>
      <w:r>
        <w:rPr>
          <w:rFonts w:ascii="Times New Roman" w:hAnsi="Times New Roman" w:eastAsia="Times New Roman" w:cs="Times New Roman"/>
        </w:rPr>
        <w:fldChar w:fldCharType="end"/>
      </w:r>
    </w:p>
    <w:p w14:paraId="53D527E5">
      <w:pPr>
        <w:pStyle w:val="2"/>
        <w:tabs>
          <w:tab w:val="right" w:leader="dot" w:pos="8430"/>
        </w:tabs>
        <w:spacing w:before="279" w:line="240" w:lineRule="auto"/>
        <w:ind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"_bookmark19" </w:instrText>
      </w:r>
      <w:r>
        <w:fldChar w:fldCharType="separate"/>
      </w:r>
      <w:r>
        <w:t>九、合同管理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15</w:t>
      </w:r>
      <w:r>
        <w:rPr>
          <w:rFonts w:ascii="Times New Roman" w:hAnsi="Times New Roman" w:eastAsia="Times New Roman" w:cs="Times New Roman"/>
        </w:rPr>
        <w:fldChar w:fldCharType="end"/>
      </w:r>
    </w:p>
    <w:p w14:paraId="0A0BE3F1">
      <w:pPr>
        <w:pStyle w:val="2"/>
        <w:tabs>
          <w:tab w:val="right" w:leader="dot" w:pos="8430"/>
        </w:tabs>
        <w:spacing w:before="282" w:line="240" w:lineRule="auto"/>
        <w:ind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"_bookmark20" </w:instrText>
      </w:r>
      <w:r>
        <w:fldChar w:fldCharType="separate"/>
      </w:r>
      <w:r>
        <w:t>十、标准操作规程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15</w:t>
      </w:r>
      <w:r>
        <w:rPr>
          <w:rFonts w:ascii="Times New Roman" w:hAnsi="Times New Roman" w:eastAsia="Times New Roman" w:cs="Times New Roman"/>
        </w:rPr>
        <w:fldChar w:fldCharType="end"/>
      </w:r>
    </w:p>
    <w:p w14:paraId="6837B771">
      <w:pPr>
        <w:pStyle w:val="2"/>
        <w:tabs>
          <w:tab w:val="right" w:leader="dot" w:pos="8430"/>
        </w:tabs>
        <w:spacing w:before="282" w:line="240" w:lineRule="auto"/>
        <w:ind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"_bookmark21" </w:instrText>
      </w:r>
      <w:r>
        <w:fldChar w:fldCharType="separate"/>
      </w:r>
      <w:r>
        <w:t>十一、项目实施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16</w:t>
      </w:r>
      <w:r>
        <w:rPr>
          <w:rFonts w:ascii="Times New Roman" w:hAnsi="Times New Roman" w:eastAsia="Times New Roman" w:cs="Times New Roman"/>
        </w:rPr>
        <w:fldChar w:fldCharType="end"/>
      </w:r>
    </w:p>
    <w:p w14:paraId="4ABB7E5D">
      <w:pPr>
        <w:pStyle w:val="2"/>
        <w:tabs>
          <w:tab w:val="right" w:leader="dot" w:pos="8430"/>
        </w:tabs>
        <w:spacing w:before="279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"_bookmark22" </w:instrText>
      </w:r>
      <w:r>
        <w:fldChar w:fldCharType="separate"/>
      </w:r>
      <w:r>
        <w:t>（一）实验方案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16</w:t>
      </w:r>
      <w:r>
        <w:rPr>
          <w:rFonts w:ascii="Times New Roman" w:hAnsi="Times New Roman" w:eastAsia="Times New Roman" w:cs="Times New Roman"/>
        </w:rPr>
        <w:fldChar w:fldCharType="end"/>
      </w:r>
    </w:p>
    <w:p w14:paraId="6578A4DC">
      <w:pPr>
        <w:pStyle w:val="2"/>
        <w:tabs>
          <w:tab w:val="right" w:leader="dot" w:pos="8430"/>
        </w:tabs>
        <w:spacing w:before="282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"_bookmark23" </w:instrText>
      </w:r>
      <w:r>
        <w:fldChar w:fldCharType="separate"/>
      </w:r>
      <w:r>
        <w:t>（二）项目实施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17</w:t>
      </w:r>
      <w:r>
        <w:rPr>
          <w:rFonts w:ascii="Times New Roman" w:hAnsi="Times New Roman" w:eastAsia="Times New Roman" w:cs="Times New Roman"/>
        </w:rPr>
        <w:fldChar w:fldCharType="end"/>
      </w:r>
    </w:p>
    <w:p w14:paraId="2CFB0445">
      <w:pPr>
        <w:pStyle w:val="2"/>
        <w:tabs>
          <w:tab w:val="right" w:leader="dot" w:pos="8430"/>
        </w:tabs>
        <w:spacing w:before="282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"_bookmark24" </w:instrText>
      </w:r>
      <w:r>
        <w:fldChar w:fldCharType="separate"/>
      </w:r>
      <w:r>
        <w:t>（三）实验报告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18</w:t>
      </w:r>
      <w:r>
        <w:rPr>
          <w:rFonts w:ascii="Times New Roman" w:hAnsi="Times New Roman" w:eastAsia="Times New Roman" w:cs="Times New Roman"/>
        </w:rPr>
        <w:fldChar w:fldCharType="end"/>
      </w:r>
    </w:p>
    <w:p w14:paraId="0B963BE3">
      <w:pPr>
        <w:pStyle w:val="2"/>
        <w:tabs>
          <w:tab w:val="right" w:leader="dot" w:pos="8430"/>
        </w:tabs>
        <w:spacing w:before="279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"_bookmark25" </w:instrText>
      </w:r>
      <w:r>
        <w:fldChar w:fldCharType="separate"/>
      </w:r>
      <w:r>
        <w:t>（四）归档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19</w:t>
      </w:r>
      <w:r>
        <w:rPr>
          <w:rFonts w:ascii="Times New Roman" w:hAnsi="Times New Roman" w:eastAsia="Times New Roman" w:cs="Times New Roman"/>
        </w:rPr>
        <w:fldChar w:fldCharType="end"/>
      </w:r>
    </w:p>
    <w:p w14:paraId="3ED7FD15">
      <w:pPr>
        <w:pStyle w:val="2"/>
        <w:tabs>
          <w:tab w:val="right" w:leader="dot" w:pos="8430"/>
        </w:tabs>
        <w:spacing w:before="282" w:line="240" w:lineRule="auto"/>
        <w:ind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"_bookmark26" </w:instrText>
      </w:r>
      <w:r>
        <w:fldChar w:fldCharType="separate"/>
      </w:r>
      <w:r>
        <w:t>十二、实验记录和数据管理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19</w:t>
      </w:r>
      <w:r>
        <w:rPr>
          <w:rFonts w:ascii="Times New Roman" w:hAnsi="Times New Roman" w:eastAsia="Times New Roman" w:cs="Times New Roman"/>
        </w:rPr>
        <w:fldChar w:fldCharType="end"/>
      </w:r>
    </w:p>
    <w:p w14:paraId="223915A9">
      <w:pPr>
        <w:pStyle w:val="2"/>
        <w:tabs>
          <w:tab w:val="right" w:leader="dot" w:pos="8430"/>
        </w:tabs>
        <w:spacing w:before="282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"_bookmark27" </w:instrText>
      </w:r>
      <w:r>
        <w:fldChar w:fldCharType="separate"/>
      </w:r>
      <w:r>
        <w:t>（一）纸质记录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19</w:t>
      </w:r>
      <w:r>
        <w:rPr>
          <w:rFonts w:ascii="Times New Roman" w:hAnsi="Times New Roman" w:eastAsia="Times New Roman" w:cs="Times New Roman"/>
        </w:rPr>
        <w:fldChar w:fldCharType="end"/>
      </w:r>
    </w:p>
    <w:p w14:paraId="177F4278">
      <w:pPr>
        <w:pStyle w:val="2"/>
        <w:tabs>
          <w:tab w:val="right" w:leader="dot" w:pos="8430"/>
        </w:tabs>
        <w:spacing w:before="280" w:line="240" w:lineRule="auto"/>
        <w:ind w:left="559"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"_bookmark28" </w:instrText>
      </w:r>
      <w:r>
        <w:fldChar w:fldCharType="separate"/>
      </w:r>
      <w:r>
        <w:t>（二）电子记录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20</w:t>
      </w:r>
      <w:r>
        <w:rPr>
          <w:rFonts w:ascii="Times New Roman" w:hAnsi="Times New Roman" w:eastAsia="Times New Roman" w:cs="Times New Roman"/>
        </w:rPr>
        <w:fldChar w:fldCharType="end"/>
      </w:r>
    </w:p>
    <w:p w14:paraId="1B485437">
      <w:pPr>
        <w:pStyle w:val="2"/>
        <w:tabs>
          <w:tab w:val="right" w:leader="dot" w:pos="8430"/>
        </w:tabs>
        <w:spacing w:before="282" w:line="240" w:lineRule="auto"/>
        <w:ind w:right="0" w:firstLine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"_bookmark29" </w:instrText>
      </w:r>
      <w:r>
        <w:fldChar w:fldCharType="separate"/>
      </w:r>
      <w:r>
        <w:t>十三、参考文献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22</w:t>
      </w:r>
      <w:r>
        <w:rPr>
          <w:rFonts w:ascii="Times New Roman" w:hAnsi="Times New Roman" w:eastAsia="Times New Roman" w:cs="Times New Roman"/>
        </w:rPr>
        <w:fldChar w:fldCharType="end"/>
      </w:r>
    </w:p>
    <w:p w14:paraId="6E655E1B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pgSz w:w="11910" w:h="16840"/>
          <w:pgMar w:top="1500" w:right="1680" w:bottom="280" w:left="1680" w:header="720" w:footer="720" w:gutter="0"/>
          <w:cols w:space="720" w:num="1"/>
        </w:sectPr>
      </w:pPr>
    </w:p>
    <w:p w14:paraId="74A78370">
      <w:pPr>
        <w:spacing w:before="6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p w14:paraId="4678A7EB">
      <w:pPr>
        <w:spacing w:line="429" w:lineRule="exact"/>
        <w:ind w:left="852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8"/>
          <w:sz w:val="20"/>
          <w:szCs w:val="20"/>
        </w:rPr>
        <w:drawing>
          <wp:inline distT="0" distB="0" distL="0" distR="0">
            <wp:extent cx="4572635" cy="272415"/>
            <wp:effectExtent l="0" t="0" r="0" b="6985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015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01F17">
      <w:pPr>
        <w:spacing w:before="0" w:line="240" w:lineRule="auto"/>
        <w:rPr>
          <w:rFonts w:ascii="Times New Roman" w:hAnsi="Times New Roman" w:eastAsia="Times New Roman" w:cs="Times New Roman"/>
          <w:sz w:val="32"/>
          <w:szCs w:val="32"/>
        </w:rPr>
      </w:pPr>
    </w:p>
    <w:p w14:paraId="7A7FEFA1">
      <w:pPr>
        <w:pStyle w:val="2"/>
        <w:spacing w:before="235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0" w:name="_bookmark0"/>
      <w:bookmarkEnd w:id="0"/>
      <w:r>
        <w:rPr>
          <w:rFonts w:ascii="宋体" w:hAnsi="宋体" w:eastAsia="宋体" w:cs="宋体"/>
        </w:rPr>
        <w:t>一、概述</w:t>
      </w:r>
    </w:p>
    <w:p w14:paraId="7408DAF5">
      <w:pPr>
        <w:pStyle w:val="2"/>
        <w:spacing w:before="203" w:line="357" w:lineRule="auto"/>
        <w:ind w:right="435"/>
        <w:jc w:val="both"/>
      </w:pPr>
      <w:r>
        <w:rPr>
          <w:spacing w:val="13"/>
        </w:rPr>
        <w:t>药物临床试验生物样品（以下简称生物样品）是指根</w:t>
      </w:r>
      <w:r>
        <w:rPr>
          <w:w w:val="99"/>
        </w:rPr>
        <w:t xml:space="preserve"> </w:t>
      </w:r>
      <w:r>
        <w:rPr>
          <w:spacing w:val="12"/>
        </w:rPr>
        <w:t>据药物临床试验方案从受试者采集并分析检测的样品，包</w:t>
      </w:r>
      <w:r>
        <w:rPr>
          <w:w w:val="99"/>
        </w:rPr>
        <w:t xml:space="preserve"> </w:t>
      </w:r>
      <w:r>
        <w:rPr>
          <w:spacing w:val="12"/>
        </w:rPr>
        <w:t>括但不限于全血、血浆、血清、尿液、粪便、组织、体液</w:t>
      </w:r>
      <w:r>
        <w:rPr>
          <w:w w:val="99"/>
        </w:rPr>
        <w:t xml:space="preserve"> </w:t>
      </w:r>
      <w:r>
        <w:t>和细胞等。</w:t>
      </w:r>
    </w:p>
    <w:p w14:paraId="74322DB2">
      <w:pPr>
        <w:pStyle w:val="2"/>
        <w:spacing w:before="49" w:line="355" w:lineRule="auto"/>
        <w:ind w:right="0"/>
        <w:jc w:val="left"/>
      </w:pPr>
      <w:r>
        <w:rPr>
          <w:spacing w:val="13"/>
          <w:w w:val="95"/>
        </w:rPr>
        <w:t>为提高药物临床试验生物样品分析实验室的管理水平，</w:t>
      </w:r>
      <w:r>
        <w:rPr>
          <w:w w:val="99"/>
        </w:rPr>
        <w:t xml:space="preserve"> </w:t>
      </w:r>
      <w:r>
        <w:rPr>
          <w:spacing w:val="12"/>
        </w:rPr>
        <w:t>确保生物样品分析数据的质量，制定本指南。本指南是在</w:t>
      </w:r>
    </w:p>
    <w:p w14:paraId="4DA10539">
      <w:pPr>
        <w:pStyle w:val="2"/>
        <w:spacing w:before="51" w:line="240" w:lineRule="auto"/>
        <w:ind w:right="0" w:firstLine="0"/>
        <w:jc w:val="left"/>
      </w:pPr>
      <w:r>
        <w:t>《</w:t>
      </w:r>
      <w:r>
        <w:rPr>
          <w:spacing w:val="-146"/>
        </w:rPr>
        <w:t xml:space="preserve"> </w:t>
      </w:r>
      <w:r>
        <w:rPr>
          <w:spacing w:val="26"/>
        </w:rPr>
        <w:t>药品注册管理办法》《药物临床试验质量管理规范》</w:t>
      </w:r>
    </w:p>
    <w:p w14:paraId="2194E816">
      <w:pPr>
        <w:pStyle w:val="2"/>
        <w:spacing w:before="203" w:line="357" w:lineRule="auto"/>
        <w:ind w:right="0" w:firstLine="0"/>
        <w:jc w:val="left"/>
      </w:pPr>
      <w:r>
        <w:rPr>
          <w:spacing w:val="13"/>
        </w:rPr>
        <w:t>《药物非临床研究质量管理规范》的基础上，参考国内外</w:t>
      </w:r>
      <w:r>
        <w:rPr>
          <w:spacing w:val="12"/>
          <w:w w:val="99"/>
        </w:rPr>
        <w:t xml:space="preserve"> </w:t>
      </w:r>
      <w:r>
        <w:rPr>
          <w:spacing w:val="12"/>
        </w:rPr>
        <w:t>实验室质量管理技术要求，阐明生物样品分析实验室质量</w:t>
      </w:r>
      <w:r>
        <w:rPr>
          <w:w w:val="99"/>
        </w:rPr>
        <w:t xml:space="preserve"> </w:t>
      </w:r>
      <w:r>
        <w:rPr>
          <w:spacing w:val="12"/>
        </w:rPr>
        <w:t>管理相关要求，指导生物样品分析实验室建立良好的质量</w:t>
      </w:r>
      <w:r>
        <w:rPr>
          <w:spacing w:val="-158"/>
        </w:rPr>
        <w:t xml:space="preserve"> </w:t>
      </w:r>
      <w:r>
        <w:rPr>
          <w:spacing w:val="12"/>
          <w:w w:val="95"/>
        </w:rPr>
        <w:t>管理体系，确保分析检测数据真实、准确、完整和可追溯。</w:t>
      </w:r>
    </w:p>
    <w:p w14:paraId="2C333972">
      <w:pPr>
        <w:pStyle w:val="2"/>
        <w:spacing w:line="357" w:lineRule="auto"/>
        <w:ind w:right="0"/>
        <w:jc w:val="left"/>
      </w:pPr>
      <w:r>
        <w:rPr>
          <w:spacing w:val="13"/>
        </w:rPr>
        <w:t>承担以药品注册为目的并经国家药品监督管理局批准</w:t>
      </w:r>
      <w:r>
        <w:rPr>
          <w:w w:val="99"/>
        </w:rPr>
        <w:t xml:space="preserve"> </w:t>
      </w:r>
      <w:r>
        <w:rPr>
          <w:spacing w:val="12"/>
        </w:rPr>
        <w:t>或备案的药物临床试验（包括体内生物利用度、生物等效</w:t>
      </w:r>
      <w:r>
        <w:rPr>
          <w:w w:val="99"/>
        </w:rPr>
        <w:t xml:space="preserve"> </w:t>
      </w:r>
      <w:r>
        <w:rPr>
          <w:spacing w:val="12"/>
        </w:rPr>
        <w:t>性、药代动力学、药效动力学、疫苗及其他药物免疫原性</w:t>
      </w:r>
      <w:r>
        <w:rPr>
          <w:spacing w:val="-158"/>
        </w:rPr>
        <w:t xml:space="preserve"> </w:t>
      </w:r>
      <w:r>
        <w:rPr>
          <w:spacing w:val="12"/>
        </w:rPr>
        <w:t>检测等）生物样品分析检测工作的实验室（以下简称实验</w:t>
      </w:r>
      <w:r>
        <w:rPr>
          <w:w w:val="99"/>
        </w:rPr>
        <w:t xml:space="preserve"> </w:t>
      </w:r>
      <w:r>
        <w:rPr>
          <w:spacing w:val="11"/>
        </w:rPr>
        <w:t>室）应当遵守本指南并接受药品监督管理部门的检查核查。</w:t>
      </w:r>
      <w:r>
        <w:rPr>
          <w:spacing w:val="-157"/>
        </w:rPr>
        <w:t xml:space="preserve"> </w:t>
      </w:r>
      <w:r>
        <w:rPr>
          <w:spacing w:val="12"/>
        </w:rPr>
        <w:t>药物临床试验申办者对实验室的质量评估也应当参照本指</w:t>
      </w:r>
      <w:r>
        <w:rPr>
          <w:spacing w:val="-158"/>
        </w:rPr>
        <w:t xml:space="preserve"> </w:t>
      </w:r>
      <w:r>
        <w:t>南。</w:t>
      </w:r>
    </w:p>
    <w:p w14:paraId="01997A8B">
      <w:pPr>
        <w:spacing w:after="0" w:line="357" w:lineRule="auto"/>
        <w:jc w:val="left"/>
        <w:sectPr>
          <w:footerReference r:id="rId5" w:type="default"/>
          <w:pgSz w:w="11910" w:h="16840"/>
          <w:pgMar w:top="1400" w:right="1360" w:bottom="1160" w:left="1680" w:header="0" w:footer="970" w:gutter="0"/>
          <w:pgNumType w:start="1"/>
          <w:cols w:space="720" w:num="1"/>
        </w:sectPr>
      </w:pPr>
    </w:p>
    <w:p w14:paraId="5E6397E8">
      <w:pPr>
        <w:pStyle w:val="2"/>
        <w:spacing w:before="0" w:line="408" w:lineRule="exact"/>
        <w:ind w:left="761" w:right="0" w:firstLine="0"/>
        <w:jc w:val="left"/>
        <w:rPr>
          <w:rFonts w:ascii="宋体" w:hAnsi="宋体" w:eastAsia="宋体" w:cs="宋体"/>
        </w:rPr>
      </w:pPr>
      <w:bookmarkStart w:id="1" w:name="_bookmark1"/>
      <w:bookmarkEnd w:id="1"/>
      <w:r>
        <w:rPr>
          <w:rFonts w:ascii="宋体" w:hAnsi="宋体" w:eastAsia="宋体" w:cs="宋体"/>
        </w:rPr>
        <w:t>二、质量管理</w:t>
      </w:r>
    </w:p>
    <w:p w14:paraId="243F624C">
      <w:pPr>
        <w:pStyle w:val="2"/>
        <w:spacing w:before="203" w:line="357" w:lineRule="auto"/>
        <w:ind w:right="435"/>
        <w:jc w:val="both"/>
      </w:pPr>
      <w:r>
        <w:rPr>
          <w:spacing w:val="13"/>
        </w:rPr>
        <w:t>实验室应当建立与其所承担的生物样品分析检测工作</w:t>
      </w:r>
      <w:r>
        <w:rPr>
          <w:w w:val="99"/>
        </w:rPr>
        <w:t xml:space="preserve"> </w:t>
      </w:r>
      <w:r>
        <w:rPr>
          <w:spacing w:val="12"/>
        </w:rPr>
        <w:t>相适应的质量管理体系，保证生物样品分析数据真实、准</w:t>
      </w:r>
      <w:r>
        <w:rPr>
          <w:w w:val="99"/>
        </w:rPr>
        <w:t xml:space="preserve"> </w:t>
      </w:r>
      <w:r>
        <w:rPr>
          <w:spacing w:val="12"/>
        </w:rPr>
        <w:t>确、完整和可追溯。建议实验室获得权威机构对质量管理</w:t>
      </w:r>
      <w:r>
        <w:rPr>
          <w:w w:val="99"/>
        </w:rPr>
        <w:t xml:space="preserve"> </w:t>
      </w:r>
      <w:r>
        <w:t>体系的认证认可。</w:t>
      </w:r>
    </w:p>
    <w:p w14:paraId="7D9BFA9A">
      <w:pPr>
        <w:pStyle w:val="2"/>
        <w:spacing w:line="357" w:lineRule="auto"/>
        <w:ind w:right="422"/>
        <w:jc w:val="both"/>
      </w:pPr>
      <w:r>
        <w:rPr>
          <w:spacing w:val="14"/>
        </w:rPr>
        <w:t>开展疫苗临床样品免疫原性检测的实验室应当获得权</w:t>
      </w:r>
      <w:r>
        <w:rPr>
          <w:spacing w:val="14"/>
          <w:w w:val="99"/>
        </w:rPr>
        <w:t xml:space="preserve"> </w:t>
      </w:r>
      <w:r>
        <w:rPr>
          <w:spacing w:val="12"/>
        </w:rPr>
        <w:t>威机构对质量管理体系的认证认可，并定期参加相关能力</w:t>
      </w:r>
      <w:r>
        <w:rPr>
          <w:w w:val="99"/>
        </w:rPr>
        <w:t xml:space="preserve"> </w:t>
      </w:r>
      <w:r>
        <w:t>计划、协作研究或实验室间比对活动。</w:t>
      </w:r>
    </w:p>
    <w:p w14:paraId="041AB5B9">
      <w:pPr>
        <w:pStyle w:val="2"/>
        <w:spacing w:line="357" w:lineRule="auto"/>
        <w:ind w:right="0"/>
        <w:jc w:val="left"/>
      </w:pPr>
      <w:r>
        <w:rPr>
          <w:spacing w:val="13"/>
        </w:rPr>
        <w:t>实验室应当建立质量保证部门，确保质量保证工作的</w:t>
      </w:r>
      <w:r>
        <w:rPr>
          <w:w w:val="99"/>
        </w:rPr>
        <w:t xml:space="preserve"> </w:t>
      </w:r>
      <w:r>
        <w:rPr>
          <w:spacing w:val="12"/>
        </w:rPr>
        <w:t>独立性。质量保证人员应当具备相应资质并能够独立履行</w:t>
      </w:r>
      <w:r>
        <w:rPr>
          <w:w w:val="99"/>
        </w:rPr>
        <w:t xml:space="preserve"> </w:t>
      </w:r>
      <w:r>
        <w:rPr>
          <w:spacing w:val="13"/>
        </w:rPr>
        <w:t>其质量保证工作。质量保证部门应当制订并有效开展质量</w:t>
      </w:r>
      <w:r>
        <w:rPr>
          <w:spacing w:val="12"/>
          <w:w w:val="99"/>
        </w:rPr>
        <w:t xml:space="preserve"> </w:t>
      </w:r>
      <w:r>
        <w:rPr>
          <w:spacing w:val="12"/>
        </w:rPr>
        <w:t>保证检查计划，对实验人员、实验室设施、实验环境、仪</w:t>
      </w:r>
      <w:r>
        <w:rPr>
          <w:spacing w:val="-158"/>
        </w:rPr>
        <w:t xml:space="preserve"> </w:t>
      </w:r>
      <w:r>
        <w:rPr>
          <w:spacing w:val="12"/>
        </w:rPr>
        <w:t>器设备、计算机化系统、关键实验材料和试剂、生物样品</w:t>
      </w:r>
      <w:r>
        <w:rPr>
          <w:w w:val="99"/>
        </w:rPr>
        <w:t xml:space="preserve"> </w:t>
      </w:r>
      <w:r>
        <w:rPr>
          <w:spacing w:val="12"/>
        </w:rPr>
        <w:t>管理、实验方案、分析方法、实验记录、实验数据、分析</w:t>
      </w:r>
      <w:r>
        <w:rPr>
          <w:w w:val="99"/>
        </w:rPr>
        <w:t xml:space="preserve"> </w:t>
      </w:r>
      <w:r>
        <w:rPr>
          <w:spacing w:val="12"/>
        </w:rPr>
        <w:t>报告以及质量控制程序等进行检查。质量保证人员应当及</w:t>
      </w:r>
      <w:r>
        <w:rPr>
          <w:spacing w:val="-157"/>
        </w:rPr>
        <w:t xml:space="preserve"> </w:t>
      </w:r>
      <w:r>
        <w:rPr>
          <w:spacing w:val="12"/>
          <w:w w:val="95"/>
        </w:rPr>
        <w:t>时记录检查的内容、发现的问题、提出的建议并形成报告；</w:t>
      </w:r>
      <w:r>
        <w:rPr>
          <w:spacing w:val="84"/>
          <w:w w:val="95"/>
        </w:rPr>
        <w:t xml:space="preserve"> </w:t>
      </w:r>
      <w:r>
        <w:rPr>
          <w:spacing w:val="12"/>
        </w:rPr>
        <w:t>实验室负责人或项目负责人应当及时对质量保证部门的报</w:t>
      </w:r>
      <w:r>
        <w:rPr>
          <w:spacing w:val="-158"/>
        </w:rPr>
        <w:t xml:space="preserve"> </w:t>
      </w:r>
      <w:r>
        <w:rPr>
          <w:spacing w:val="13"/>
        </w:rPr>
        <w:t>告做出反馈，必要时采取纠正、预防措施；质量保证部门</w:t>
      </w:r>
      <w:r>
        <w:rPr>
          <w:spacing w:val="12"/>
          <w:w w:val="99"/>
        </w:rPr>
        <w:t xml:space="preserve"> </w:t>
      </w:r>
      <w:r>
        <w:t>应当跟踪并核实纠正、预防措施的落实情况。</w:t>
      </w:r>
    </w:p>
    <w:p w14:paraId="2E71CE4C">
      <w:pPr>
        <w:pStyle w:val="2"/>
        <w:spacing w:line="357" w:lineRule="auto"/>
        <w:ind w:right="436"/>
        <w:jc w:val="both"/>
      </w:pPr>
      <w:r>
        <w:rPr>
          <w:spacing w:val="13"/>
        </w:rPr>
        <w:t>实验室应当建立质量控制程序，确保生物样品分析检</w:t>
      </w:r>
      <w:r>
        <w:rPr>
          <w:w w:val="99"/>
        </w:rPr>
        <w:t xml:space="preserve"> </w:t>
      </w:r>
      <w:r>
        <w:t>测数据生成、记录、处理和报告的完整性和准确性。</w:t>
      </w:r>
    </w:p>
    <w:p w14:paraId="2122EB21">
      <w:pPr>
        <w:pStyle w:val="2"/>
        <w:spacing w:line="240" w:lineRule="auto"/>
        <w:ind w:left="761" w:right="0" w:firstLine="0"/>
        <w:jc w:val="left"/>
      </w:pPr>
      <w:r>
        <w:rPr>
          <w:spacing w:val="13"/>
        </w:rPr>
        <w:t>实验室应当积极配合项目申办者、委托方的监查、稽</w:t>
      </w:r>
    </w:p>
    <w:p w14:paraId="42244F8A">
      <w:pPr>
        <w:spacing w:after="0" w:line="240" w:lineRule="auto"/>
        <w:jc w:val="left"/>
        <w:sectPr>
          <w:pgSz w:w="11910" w:h="16840"/>
          <w:pgMar w:top="1380" w:right="1360" w:bottom="1160" w:left="1680" w:header="0" w:footer="970" w:gutter="0"/>
          <w:cols w:space="720" w:num="1"/>
        </w:sectPr>
      </w:pPr>
    </w:p>
    <w:p w14:paraId="4C9B123D">
      <w:pPr>
        <w:pStyle w:val="2"/>
        <w:spacing w:before="0" w:line="408" w:lineRule="exact"/>
        <w:ind w:right="101" w:firstLine="0"/>
        <w:jc w:val="left"/>
      </w:pPr>
      <w:r>
        <w:t>查活动。</w:t>
      </w:r>
    </w:p>
    <w:p w14:paraId="0A7EA715">
      <w:pPr>
        <w:pStyle w:val="2"/>
        <w:spacing w:before="203" w:line="357" w:lineRule="auto"/>
        <w:ind w:right="401"/>
        <w:jc w:val="both"/>
      </w:pPr>
      <w:r>
        <w:rPr>
          <w:spacing w:val="13"/>
        </w:rPr>
        <w:t>实验室应当及时将药品监督管理部门检查核查中发现</w:t>
      </w:r>
      <w:r>
        <w:rPr>
          <w:w w:val="99"/>
        </w:rPr>
        <w:t xml:space="preserve"> </w:t>
      </w:r>
      <w:r>
        <w:rPr>
          <w:spacing w:val="12"/>
        </w:rPr>
        <w:t>的可能影响数据质量的质量管理体系缺陷等情况书面告知</w:t>
      </w:r>
      <w:r>
        <w:rPr>
          <w:w w:val="99"/>
        </w:rPr>
        <w:t xml:space="preserve"> </w:t>
      </w:r>
      <w:r>
        <w:rPr>
          <w:spacing w:val="12"/>
        </w:rPr>
        <w:t>其在研、在审的项目申办者，由申办者充分评估其项目可</w:t>
      </w:r>
      <w:r>
        <w:rPr>
          <w:w w:val="99"/>
        </w:rPr>
        <w:t xml:space="preserve"> </w:t>
      </w:r>
      <w:r>
        <w:rPr>
          <w:spacing w:val="13"/>
          <w:w w:val="95"/>
        </w:rPr>
        <w:t>能存在的数据合规风险，避免将不可靠数据提交用于药品</w:t>
      </w:r>
      <w:r>
        <w:rPr>
          <w:spacing w:val="74"/>
          <w:w w:val="95"/>
        </w:rPr>
        <w:t xml:space="preserve"> </w:t>
      </w:r>
      <w:r>
        <w:t>注册申请。</w:t>
      </w:r>
    </w:p>
    <w:p w14:paraId="6E233961">
      <w:pPr>
        <w:pStyle w:val="2"/>
        <w:spacing w:before="0" w:line="497" w:lineRule="exact"/>
        <w:ind w:left="761" w:right="101" w:firstLine="2"/>
        <w:jc w:val="left"/>
        <w:rPr>
          <w:rFonts w:ascii="宋体" w:hAnsi="宋体" w:eastAsia="宋体" w:cs="宋体"/>
        </w:rPr>
      </w:pPr>
      <w:bookmarkStart w:id="2" w:name="_bookmark2"/>
      <w:bookmarkEnd w:id="2"/>
      <w:r>
        <w:rPr>
          <w:rFonts w:ascii="Malgun Gothic" w:hAnsi="Malgun Gothic" w:eastAsia="Malgun Gothic" w:cs="Malgun Gothic"/>
          <w:b/>
          <w:bCs/>
        </w:rPr>
        <w:t>三</w:t>
      </w:r>
      <w:r>
        <w:rPr>
          <w:rFonts w:ascii="宋体" w:hAnsi="宋体" w:eastAsia="宋体" w:cs="宋体"/>
        </w:rPr>
        <w:t>、</w:t>
      </w:r>
      <w:r>
        <w:rPr>
          <w:rFonts w:ascii="宋体" w:hAnsi="宋体" w:eastAsia="宋体" w:cs="宋体"/>
          <w:spacing w:val="-81"/>
        </w:rPr>
        <w:t xml:space="preserve"> </w:t>
      </w:r>
      <w:r>
        <w:rPr>
          <w:rFonts w:ascii="宋体" w:hAnsi="宋体" w:eastAsia="宋体" w:cs="宋体"/>
        </w:rPr>
        <w:t>组织机构和人员</w:t>
      </w:r>
    </w:p>
    <w:p w14:paraId="339DBAA6">
      <w:pPr>
        <w:pStyle w:val="2"/>
        <w:spacing w:before="173" w:line="357" w:lineRule="auto"/>
        <w:ind w:right="101"/>
        <w:jc w:val="left"/>
      </w:pPr>
      <w:r>
        <w:rPr>
          <w:spacing w:val="14"/>
        </w:rPr>
        <w:t>实验室应当建立完善的组织管理体系，组织架构合理</w:t>
      </w:r>
      <w:r>
        <w:rPr>
          <w:spacing w:val="14"/>
          <w:w w:val="99"/>
        </w:rPr>
        <w:t xml:space="preserve"> </w:t>
      </w:r>
      <w:r>
        <w:rPr>
          <w:spacing w:val="12"/>
          <w:w w:val="95"/>
        </w:rPr>
        <w:t>清晰，各岗位职责明确；配备实验室负责人、项目负责人、</w:t>
      </w:r>
      <w:r>
        <w:rPr>
          <w:spacing w:val="78"/>
          <w:w w:val="95"/>
        </w:rPr>
        <w:t xml:space="preserve"> </w:t>
      </w:r>
      <w:r>
        <w:rPr>
          <w:spacing w:val="13"/>
        </w:rPr>
        <w:t>质量保证负责人及满足生物样品分析检测工作需要的其他</w:t>
      </w:r>
      <w:r>
        <w:rPr>
          <w:spacing w:val="12"/>
          <w:w w:val="99"/>
        </w:rPr>
        <w:t xml:space="preserve"> </w:t>
      </w:r>
      <w:r>
        <w:t>工作人员。</w:t>
      </w:r>
    </w:p>
    <w:p w14:paraId="08EAB078">
      <w:pPr>
        <w:pStyle w:val="2"/>
        <w:spacing w:line="357" w:lineRule="auto"/>
        <w:ind w:right="402"/>
        <w:jc w:val="both"/>
      </w:pPr>
      <w:r>
        <w:rPr>
          <w:spacing w:val="14"/>
        </w:rPr>
        <w:t>实验室应当制定并实施工作人员培训和考核计划，并</w:t>
      </w:r>
      <w:r>
        <w:rPr>
          <w:spacing w:val="14"/>
          <w:w w:val="99"/>
        </w:rPr>
        <w:t xml:space="preserve"> </w:t>
      </w:r>
      <w:r>
        <w:rPr>
          <w:spacing w:val="12"/>
        </w:rPr>
        <w:t>对培训效果进行评估，确保工作人员资质和技能持续符合</w:t>
      </w:r>
      <w:r>
        <w:rPr>
          <w:w w:val="99"/>
        </w:rPr>
        <w:t xml:space="preserve"> </w:t>
      </w:r>
      <w:r>
        <w:t>岗位要求。</w:t>
      </w:r>
    </w:p>
    <w:p w14:paraId="60C08D9B">
      <w:pPr>
        <w:pStyle w:val="2"/>
        <w:spacing w:line="352" w:lineRule="auto"/>
        <w:ind w:right="101"/>
        <w:jc w:val="left"/>
      </w:pPr>
      <w:r>
        <w:rPr>
          <w:spacing w:val="14"/>
        </w:rPr>
        <w:t>开展疫苗临床样品免疫原性检测的实验室应当具有至</w:t>
      </w:r>
      <w:r>
        <w:rPr>
          <w:spacing w:val="14"/>
          <w:w w:val="99"/>
        </w:rPr>
        <w:t xml:space="preserve"> </w:t>
      </w:r>
      <w:r>
        <w:t>少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t>年疫苗临床样品免疫原性检测经验，实验室可通过内部</w:t>
      </w:r>
      <w:r>
        <w:rPr>
          <w:w w:val="99"/>
        </w:rPr>
        <w:t xml:space="preserve"> </w:t>
      </w:r>
      <w:r>
        <w:rPr>
          <w:spacing w:val="12"/>
          <w:w w:val="95"/>
        </w:rPr>
        <w:t>和外部的质量控制措施，确保检测技术的延续性和一致性，</w:t>
      </w:r>
      <w:r>
        <w:rPr>
          <w:spacing w:val="78"/>
          <w:w w:val="95"/>
        </w:rPr>
        <w:t xml:space="preserve"> </w:t>
      </w:r>
      <w:r>
        <w:rPr>
          <w:spacing w:val="12"/>
        </w:rPr>
        <w:t>以及与已上市同一病原体疫苗产品的抗体检测方法的一致</w:t>
      </w:r>
      <w:r>
        <w:rPr>
          <w:w w:val="99"/>
        </w:rPr>
        <w:t xml:space="preserve"> </w:t>
      </w:r>
      <w:r>
        <w:rPr>
          <w:spacing w:val="12"/>
        </w:rPr>
        <w:t>性或检测结果的可比性，建议通过与累积的历史数据进行</w:t>
      </w:r>
      <w:r>
        <w:rPr>
          <w:w w:val="99"/>
        </w:rPr>
        <w:t xml:space="preserve"> </w:t>
      </w:r>
      <w:r>
        <w:rPr>
          <w:spacing w:val="12"/>
        </w:rPr>
        <w:t>比较，保证疫苗免疫原性评价结果的可靠性，并配合接受</w:t>
      </w:r>
      <w:r>
        <w:rPr>
          <w:w w:val="99"/>
        </w:rPr>
        <w:t xml:space="preserve"> </w:t>
      </w:r>
      <w:r>
        <w:t>申办者的评估。</w:t>
      </w:r>
    </w:p>
    <w:p w14:paraId="4160086E">
      <w:pPr>
        <w:spacing w:after="0" w:line="352" w:lineRule="auto"/>
        <w:jc w:val="left"/>
        <w:sectPr>
          <w:pgSz w:w="11910" w:h="16840"/>
          <w:pgMar w:top="1380" w:right="1380" w:bottom="1160" w:left="1680" w:header="0" w:footer="970" w:gutter="0"/>
          <w:cols w:space="720" w:num="1"/>
        </w:sectPr>
      </w:pPr>
    </w:p>
    <w:p w14:paraId="3D40DBF7">
      <w:pPr>
        <w:pStyle w:val="2"/>
        <w:spacing w:before="0" w:line="406" w:lineRule="exact"/>
        <w:ind w:left="761" w:right="0" w:firstLine="0"/>
        <w:jc w:val="left"/>
        <w:rPr>
          <w:rFonts w:ascii="宋体" w:hAnsi="宋体" w:eastAsia="宋体" w:cs="宋体"/>
        </w:rPr>
      </w:pPr>
      <w:bookmarkStart w:id="3" w:name="_bookmark3"/>
      <w:bookmarkEnd w:id="3"/>
      <w:r>
        <w:rPr>
          <w:rFonts w:ascii="宋体" w:hAnsi="宋体" w:eastAsia="宋体" w:cs="宋体"/>
        </w:rPr>
        <w:t>（一）工作人员总体要求</w:t>
      </w:r>
    </w:p>
    <w:p w14:paraId="25BD9845">
      <w:pPr>
        <w:spacing w:before="3" w:line="240" w:lineRule="auto"/>
        <w:rPr>
          <w:rFonts w:ascii="宋体" w:hAnsi="宋体" w:eastAsia="宋体" w:cs="宋体"/>
          <w:sz w:val="23"/>
          <w:szCs w:val="23"/>
        </w:rPr>
      </w:pPr>
    </w:p>
    <w:p w14:paraId="37361260">
      <w:pPr>
        <w:pStyle w:val="2"/>
        <w:spacing w:before="0" w:line="357" w:lineRule="auto"/>
        <w:ind w:right="436"/>
        <w:jc w:val="both"/>
      </w:pPr>
      <w:r>
        <w:rPr>
          <w:spacing w:val="13"/>
        </w:rPr>
        <w:t>实验室应当配备足够的可胜任岗位职责的工作人员。</w:t>
      </w:r>
      <w:r>
        <w:rPr>
          <w:w w:val="99"/>
        </w:rPr>
        <w:t xml:space="preserve"> </w:t>
      </w:r>
      <w:r>
        <w:rPr>
          <w:spacing w:val="12"/>
        </w:rPr>
        <w:t>工作人员应当具备严谨的科学态度和良好的职业道德，具</w:t>
      </w:r>
      <w:r>
        <w:rPr>
          <w:w w:val="99"/>
        </w:rPr>
        <w:t xml:space="preserve"> </w:t>
      </w:r>
      <w:r>
        <w:rPr>
          <w:spacing w:val="12"/>
        </w:rPr>
        <w:t>有相应专业背景并通过相应培训与考核，具备必要的经验</w:t>
      </w:r>
      <w:r>
        <w:rPr>
          <w:w w:val="99"/>
        </w:rPr>
        <w:t xml:space="preserve"> </w:t>
      </w:r>
      <w:r>
        <w:t>和资质并具有上岗资格。</w:t>
      </w:r>
    </w:p>
    <w:p w14:paraId="61057426">
      <w:pPr>
        <w:pStyle w:val="2"/>
        <w:spacing w:line="357" w:lineRule="auto"/>
        <w:ind w:right="0"/>
        <w:jc w:val="left"/>
      </w:pPr>
      <w:r>
        <w:rPr>
          <w:spacing w:val="13"/>
          <w:w w:val="95"/>
        </w:rPr>
        <w:t>工作人员应当严格执行相关标准操作规程和实验方案。</w:t>
      </w:r>
      <w:r>
        <w:rPr>
          <w:w w:val="99"/>
        </w:rPr>
        <w:t xml:space="preserve"> </w:t>
      </w:r>
      <w:r>
        <w:rPr>
          <w:spacing w:val="12"/>
        </w:rPr>
        <w:t>及时、完整、准确和清晰地记录工作内容。对任何可能影</w:t>
      </w:r>
      <w:r>
        <w:rPr>
          <w:w w:val="99"/>
        </w:rPr>
        <w:t xml:space="preserve"> </w:t>
      </w:r>
      <w:r>
        <w:rPr>
          <w:spacing w:val="12"/>
        </w:rPr>
        <w:t>响实验结果的情况应当及时报告上级负责人和相关项目负</w:t>
      </w:r>
      <w:r>
        <w:rPr>
          <w:w w:val="99"/>
        </w:rPr>
        <w:t xml:space="preserve"> </w:t>
      </w:r>
      <w:r>
        <w:t>责人。</w:t>
      </w:r>
    </w:p>
    <w:p w14:paraId="23D56F6F">
      <w:pPr>
        <w:pStyle w:val="2"/>
        <w:spacing w:before="48" w:line="355" w:lineRule="auto"/>
        <w:ind w:right="0"/>
        <w:jc w:val="left"/>
      </w:pPr>
      <w:r>
        <w:rPr>
          <w:spacing w:val="14"/>
        </w:rPr>
        <w:t>工作人员应当对涉及保密的技术资料、实验信息等履</w:t>
      </w:r>
      <w:r>
        <w:rPr>
          <w:spacing w:val="14"/>
          <w:w w:val="99"/>
        </w:rPr>
        <w:t xml:space="preserve"> </w:t>
      </w:r>
      <w:r>
        <w:rPr>
          <w:spacing w:val="12"/>
          <w:w w:val="95"/>
        </w:rPr>
        <w:t>行保密责任；应当遵守岗位着装要求，维护工作环境清洁，</w:t>
      </w:r>
      <w:r>
        <w:rPr>
          <w:spacing w:val="83"/>
          <w:w w:val="95"/>
        </w:rPr>
        <w:t xml:space="preserve"> </w:t>
      </w:r>
      <w:r>
        <w:t>遵守健康检查规定。</w:t>
      </w:r>
    </w:p>
    <w:p w14:paraId="65C60687">
      <w:pPr>
        <w:pStyle w:val="2"/>
        <w:spacing w:before="52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4" w:name="_bookmark4"/>
      <w:bookmarkEnd w:id="4"/>
      <w:r>
        <w:rPr>
          <w:rFonts w:ascii="宋体" w:hAnsi="宋体" w:eastAsia="宋体" w:cs="宋体"/>
        </w:rPr>
        <w:t>（二）实验室负责人</w:t>
      </w:r>
    </w:p>
    <w:p w14:paraId="3E12151B">
      <w:pPr>
        <w:pStyle w:val="2"/>
        <w:spacing w:before="203" w:line="357" w:lineRule="auto"/>
        <w:ind w:right="433"/>
        <w:jc w:val="both"/>
      </w:pPr>
      <w:r>
        <w:rPr>
          <w:spacing w:val="13"/>
        </w:rPr>
        <w:t>实验室负责人应当具有药学、医学、生物学、化学或</w:t>
      </w:r>
      <w:r>
        <w:rPr>
          <w:w w:val="99"/>
        </w:rPr>
        <w:t xml:space="preserve"> </w:t>
      </w:r>
      <w:r>
        <w:rPr>
          <w:spacing w:val="12"/>
        </w:rPr>
        <w:t>相关专业本科及以上学历，具备生物样品分析检测相关工</w:t>
      </w:r>
      <w:r>
        <w:rPr>
          <w:spacing w:val="-158"/>
        </w:rPr>
        <w:t xml:space="preserve"> </w:t>
      </w:r>
      <w:r>
        <w:rPr>
          <w:spacing w:val="12"/>
        </w:rPr>
        <w:t>作经验，能有效组织和指导实验室工作，并对项目的执行</w:t>
      </w:r>
      <w:r>
        <w:rPr>
          <w:w w:val="99"/>
        </w:rPr>
        <w:t xml:space="preserve"> </w:t>
      </w:r>
      <w:r>
        <w:t>和结果承担相应责任。</w:t>
      </w:r>
    </w:p>
    <w:p w14:paraId="4CB34DAB">
      <w:pPr>
        <w:pStyle w:val="2"/>
        <w:spacing w:before="48" w:line="240" w:lineRule="auto"/>
        <w:ind w:left="761" w:right="0" w:firstLine="0"/>
        <w:jc w:val="left"/>
      </w:pPr>
      <w:r>
        <w:t>实验室负责人职责包括但不限于：</w:t>
      </w:r>
    </w:p>
    <w:p w14:paraId="162FEAE9">
      <w:pPr>
        <w:pStyle w:val="2"/>
        <w:spacing w:before="203" w:line="348" w:lineRule="auto"/>
        <w:ind w:right="435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1.</w:t>
      </w:r>
      <w:r>
        <w:rPr>
          <w:spacing w:val="3"/>
          <w:w w:val="95"/>
        </w:rPr>
        <w:t>负责实验室建设和日常运营，确保实验室场地、设施</w:t>
      </w:r>
      <w:r>
        <w:rPr>
          <w:w w:val="99"/>
        </w:rPr>
        <w:t xml:space="preserve"> </w:t>
      </w:r>
      <w:r>
        <w:rPr>
          <w:spacing w:val="12"/>
        </w:rPr>
        <w:t>设备、人员及质量管理体系等条件满足生物样品分析检测</w:t>
      </w:r>
      <w:r>
        <w:rPr>
          <w:w w:val="99"/>
        </w:rPr>
        <w:t xml:space="preserve"> </w:t>
      </w:r>
      <w:r>
        <w:t>工作需求；</w:t>
      </w:r>
    </w:p>
    <w:p w14:paraId="4152E897">
      <w:pPr>
        <w:pStyle w:val="2"/>
        <w:spacing w:before="58" w:line="240" w:lineRule="auto"/>
        <w:ind w:left="761" w:right="0" w:firstLine="0"/>
        <w:jc w:val="left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spacing w:val="3"/>
        </w:rPr>
        <w:t>确保实验室建立与生物样品分析工作相适宜的管理制</w:t>
      </w:r>
    </w:p>
    <w:p w14:paraId="2DBA4A90">
      <w:pPr>
        <w:spacing w:after="0" w:line="240" w:lineRule="auto"/>
        <w:jc w:val="left"/>
        <w:sectPr>
          <w:pgSz w:w="11910" w:h="16840"/>
          <w:pgMar w:top="1380" w:right="1360" w:bottom="1160" w:left="1680" w:header="0" w:footer="970" w:gutter="0"/>
          <w:cols w:space="720" w:num="1"/>
        </w:sectPr>
      </w:pPr>
    </w:p>
    <w:p w14:paraId="3C7C2F74">
      <w:pPr>
        <w:pStyle w:val="2"/>
        <w:spacing w:before="0" w:line="408" w:lineRule="exact"/>
        <w:ind w:right="101" w:firstLine="0"/>
        <w:jc w:val="left"/>
      </w:pPr>
      <w:r>
        <w:t>度、技术规范和标准操作规程并及时更新；</w:t>
      </w:r>
    </w:p>
    <w:p w14:paraId="1EB641CF">
      <w:pPr>
        <w:pStyle w:val="2"/>
        <w:spacing w:before="203" w:line="338" w:lineRule="auto"/>
        <w:ind w:right="101"/>
        <w:jc w:val="left"/>
      </w:pPr>
      <w:r>
        <w:rPr>
          <w:rFonts w:ascii="Times New Roman" w:hAnsi="Times New Roman" w:eastAsia="Times New Roman" w:cs="Times New Roman"/>
          <w:spacing w:val="3"/>
          <w:w w:val="95"/>
        </w:rPr>
        <w:t>3.</w:t>
      </w:r>
      <w:r>
        <w:rPr>
          <w:spacing w:val="3"/>
          <w:w w:val="95"/>
        </w:rPr>
        <w:t>确保实验室制定主计划表并及时进行更新，以便掌握</w:t>
      </w:r>
      <w:r>
        <w:rPr>
          <w:spacing w:val="4"/>
          <w:w w:val="99"/>
        </w:rPr>
        <w:t xml:space="preserve"> </w:t>
      </w:r>
      <w:r>
        <w:t>实验室开展的所有项目进展和资源分配情况；</w:t>
      </w:r>
    </w:p>
    <w:p w14:paraId="6D12B4CD">
      <w:pPr>
        <w:pStyle w:val="2"/>
        <w:spacing w:before="71" w:line="338" w:lineRule="auto"/>
        <w:ind w:right="101"/>
        <w:jc w:val="left"/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spacing w:val="2"/>
        </w:rPr>
        <w:t>确保质量保证工作有效开展，确保及时处理质量保证</w:t>
      </w:r>
      <w:r>
        <w:rPr>
          <w:w w:val="99"/>
        </w:rPr>
        <w:t xml:space="preserve"> </w:t>
      </w:r>
      <w:r>
        <w:t>部门的报告并采取必要的纠正、预防措施；</w:t>
      </w:r>
    </w:p>
    <w:p w14:paraId="7291BB72">
      <w:pPr>
        <w:pStyle w:val="2"/>
        <w:spacing w:before="71" w:line="336" w:lineRule="auto"/>
        <w:ind w:right="101"/>
        <w:jc w:val="left"/>
      </w:pPr>
      <w:r>
        <w:rPr>
          <w:rFonts w:ascii="Times New Roman" w:hAnsi="Times New Roman" w:eastAsia="Times New Roman" w:cs="Times New Roman"/>
          <w:spacing w:val="3"/>
          <w:w w:val="95"/>
        </w:rPr>
        <w:t>5.</w:t>
      </w:r>
      <w:r>
        <w:rPr>
          <w:spacing w:val="3"/>
          <w:w w:val="95"/>
        </w:rPr>
        <w:t>确保实验室或其所在的机构与委托方签订书面合同，</w:t>
      </w:r>
      <w:r>
        <w:rPr>
          <w:w w:val="99"/>
        </w:rPr>
        <w:t xml:space="preserve"> </w:t>
      </w:r>
      <w:r>
        <w:t>明确各方职责；</w:t>
      </w:r>
    </w:p>
    <w:p w14:paraId="04EAE062">
      <w:pPr>
        <w:pStyle w:val="2"/>
        <w:spacing w:before="78" w:line="240" w:lineRule="auto"/>
        <w:ind w:left="761" w:right="101" w:firstLine="0"/>
        <w:jc w:val="left"/>
      </w:pPr>
      <w:r>
        <w:rPr>
          <w:rFonts w:ascii="Times New Roman" w:hAnsi="Times New Roman" w:eastAsia="Times New Roman" w:cs="Times New Roman"/>
        </w:rPr>
        <w:t>6.</w:t>
      </w:r>
      <w:r>
        <w:t>建立沟通机制，确保与项目各方有效沟通；</w:t>
      </w:r>
    </w:p>
    <w:p w14:paraId="531B9A0A">
      <w:pPr>
        <w:pStyle w:val="2"/>
        <w:spacing w:before="178" w:line="336" w:lineRule="auto"/>
        <w:ind w:right="101"/>
        <w:jc w:val="left"/>
      </w:pPr>
      <w:r>
        <w:rPr>
          <w:rFonts w:ascii="Times New Roman" w:hAnsi="Times New Roman" w:eastAsia="Times New Roman" w:cs="Times New Roman"/>
          <w:spacing w:val="3"/>
        </w:rPr>
        <w:t>7.</w:t>
      </w:r>
      <w:r>
        <w:rPr>
          <w:spacing w:val="3"/>
        </w:rPr>
        <w:t>确保实验室保存并及时更新工作人员档案；对工作人</w:t>
      </w:r>
      <w:r>
        <w:rPr>
          <w:w w:val="99"/>
        </w:rPr>
        <w:t xml:space="preserve"> </w:t>
      </w:r>
      <w:r>
        <w:rPr>
          <w:spacing w:val="12"/>
          <w:w w:val="95"/>
        </w:rPr>
        <w:t>员实施教育培训和考核，确保工作人员持续符合岗位要求。</w:t>
      </w:r>
    </w:p>
    <w:p w14:paraId="38B75557">
      <w:pPr>
        <w:pStyle w:val="2"/>
        <w:spacing w:before="77" w:line="336" w:lineRule="auto"/>
        <w:ind w:right="101"/>
        <w:jc w:val="left"/>
      </w:pPr>
      <w:r>
        <w:rPr>
          <w:rFonts w:ascii="Times New Roman" w:hAnsi="Times New Roman" w:eastAsia="Times New Roman" w:cs="Times New Roman"/>
          <w:spacing w:val="3"/>
          <w:w w:val="95"/>
        </w:rPr>
        <w:t>8.</w:t>
      </w:r>
      <w:r>
        <w:rPr>
          <w:spacing w:val="3"/>
          <w:w w:val="95"/>
        </w:rPr>
        <w:t>确保在项目开始前指定项目负责人，项目负责人的变</w:t>
      </w:r>
      <w:r>
        <w:rPr>
          <w:w w:val="99"/>
        </w:rPr>
        <w:t xml:space="preserve"> </w:t>
      </w:r>
      <w:r>
        <w:t>更应当按照规定的程序进行并予以记录；</w:t>
      </w:r>
    </w:p>
    <w:p w14:paraId="2F7DEAB3">
      <w:pPr>
        <w:pStyle w:val="2"/>
        <w:spacing w:before="77" w:line="336" w:lineRule="auto"/>
        <w:ind w:right="101"/>
        <w:jc w:val="left"/>
      </w:pPr>
      <w:r>
        <w:rPr>
          <w:rFonts w:ascii="Times New Roman" w:hAnsi="Times New Roman" w:eastAsia="Times New Roman" w:cs="Times New Roman"/>
          <w:spacing w:val="3"/>
          <w:w w:val="95"/>
        </w:rPr>
        <w:t>9.</w:t>
      </w:r>
      <w:r>
        <w:rPr>
          <w:spacing w:val="3"/>
          <w:w w:val="95"/>
        </w:rPr>
        <w:t>确保实验室建立仪器设备和计算机化系统管理流程，</w:t>
      </w:r>
      <w:r>
        <w:rPr>
          <w:w w:val="99"/>
        </w:rPr>
        <w:t xml:space="preserve"> </w:t>
      </w:r>
      <w:r>
        <w:t>确保其性能符合要求；</w:t>
      </w:r>
    </w:p>
    <w:p w14:paraId="5E1AF3E6">
      <w:pPr>
        <w:pStyle w:val="2"/>
        <w:spacing w:before="75" w:line="338" w:lineRule="auto"/>
        <w:ind w:right="101"/>
        <w:jc w:val="left"/>
      </w:pPr>
      <w:r>
        <w:rPr>
          <w:rFonts w:ascii="Times New Roman" w:hAnsi="Times New Roman" w:eastAsia="Times New Roman" w:cs="Times New Roman"/>
          <w:spacing w:val="9"/>
        </w:rPr>
        <w:t>10.</w:t>
      </w:r>
      <w:r>
        <w:rPr>
          <w:spacing w:val="9"/>
        </w:rPr>
        <w:t>指定专人负责对照标准物质、生物样品、档案的管</w:t>
      </w:r>
      <w:r>
        <w:rPr>
          <w:w w:val="99"/>
        </w:rPr>
        <w:t xml:space="preserve"> </w:t>
      </w:r>
      <w:r>
        <w:t>理；</w:t>
      </w:r>
    </w:p>
    <w:p w14:paraId="7F8E7267">
      <w:pPr>
        <w:pStyle w:val="2"/>
        <w:spacing w:before="71" w:line="336" w:lineRule="auto"/>
        <w:ind w:right="101"/>
        <w:jc w:val="left"/>
      </w:pPr>
      <w:r>
        <w:rPr>
          <w:rFonts w:ascii="Times New Roman" w:hAnsi="Times New Roman" w:eastAsia="Times New Roman" w:cs="Times New Roman"/>
          <w:spacing w:val="10"/>
          <w:w w:val="95"/>
        </w:rPr>
        <w:t>11.</w:t>
      </w:r>
      <w:r>
        <w:rPr>
          <w:spacing w:val="10"/>
          <w:w w:val="95"/>
        </w:rPr>
        <w:t>确保实验室建立防火、防盗、生物安全等安全防范</w:t>
      </w:r>
      <w:r>
        <w:rPr>
          <w:spacing w:val="12"/>
          <w:w w:val="99"/>
        </w:rPr>
        <w:t xml:space="preserve"> </w:t>
      </w:r>
      <w:r>
        <w:t>措施并定期检查。</w:t>
      </w:r>
    </w:p>
    <w:p w14:paraId="0358A172">
      <w:pPr>
        <w:pStyle w:val="2"/>
        <w:spacing w:before="77" w:line="240" w:lineRule="auto"/>
        <w:ind w:left="761" w:right="101" w:firstLine="0"/>
        <w:jc w:val="left"/>
        <w:rPr>
          <w:rFonts w:ascii="宋体" w:hAnsi="宋体" w:eastAsia="宋体" w:cs="宋体"/>
        </w:rPr>
      </w:pPr>
      <w:bookmarkStart w:id="5" w:name="_bookmark5"/>
      <w:bookmarkEnd w:id="5"/>
      <w:r>
        <w:rPr>
          <w:rFonts w:ascii="宋体" w:hAnsi="宋体" w:eastAsia="宋体" w:cs="宋体"/>
        </w:rPr>
        <w:t>（三）质量保证负责人</w:t>
      </w:r>
    </w:p>
    <w:p w14:paraId="370D9A88">
      <w:pPr>
        <w:pStyle w:val="2"/>
        <w:spacing w:before="203" w:line="357" w:lineRule="auto"/>
        <w:ind w:right="414"/>
        <w:jc w:val="both"/>
      </w:pPr>
      <w:r>
        <w:rPr>
          <w:spacing w:val="13"/>
        </w:rPr>
        <w:t>质量保证负责人应当具有药学、医学、生物学、化学</w:t>
      </w:r>
      <w:r>
        <w:rPr>
          <w:w w:val="99"/>
        </w:rPr>
        <w:t xml:space="preserve"> </w:t>
      </w:r>
      <w:r>
        <w:rPr>
          <w:spacing w:val="12"/>
        </w:rPr>
        <w:t>或者相关专业本科及以上学历，熟悉生物样品分析检测工</w:t>
      </w:r>
      <w:r>
        <w:rPr>
          <w:w w:val="99"/>
        </w:rPr>
        <w:t xml:space="preserve"> </w:t>
      </w:r>
      <w:r>
        <w:t>作相关法律法规和技术规范，具有至少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t>年的实验室质量管</w:t>
      </w:r>
    </w:p>
    <w:p w14:paraId="448B98A2">
      <w:pPr>
        <w:spacing w:after="0" w:line="357" w:lineRule="auto"/>
        <w:jc w:val="both"/>
        <w:sectPr>
          <w:pgSz w:w="11910" w:h="16840"/>
          <w:pgMar w:top="1380" w:right="1380" w:bottom="1160" w:left="1680" w:header="0" w:footer="970" w:gutter="0"/>
          <w:cols w:space="720" w:num="1"/>
        </w:sectPr>
      </w:pPr>
    </w:p>
    <w:p w14:paraId="1FC242D6">
      <w:pPr>
        <w:pStyle w:val="2"/>
        <w:spacing w:before="0" w:line="357" w:lineRule="auto"/>
        <w:ind w:left="761" w:right="0" w:hanging="641"/>
        <w:jc w:val="left"/>
      </w:pPr>
      <w:r>
        <w:t>理或生物样品分析检测相关工作经验。</w:t>
      </w:r>
      <w:r>
        <w:rPr>
          <w:w w:val="99"/>
        </w:rPr>
        <w:t xml:space="preserve"> </w:t>
      </w:r>
      <w:r>
        <w:t>质量保证负责人的职责包括但不限于：</w:t>
      </w:r>
    </w:p>
    <w:p w14:paraId="0D6F4CF4">
      <w:pPr>
        <w:pStyle w:val="2"/>
        <w:spacing w:before="48" w:line="240" w:lineRule="auto"/>
        <w:ind w:left="761" w:right="0" w:firstLine="0"/>
        <w:jc w:val="left"/>
      </w:pPr>
      <w:r>
        <w:rPr>
          <w:rFonts w:ascii="Times New Roman" w:hAnsi="Times New Roman" w:eastAsia="Times New Roman" w:cs="Times New Roman"/>
        </w:rPr>
        <w:t>1.</w:t>
      </w:r>
      <w:r>
        <w:t>负责质量保证部门的工作安排和运行；</w:t>
      </w:r>
    </w:p>
    <w:p w14:paraId="5798E8E7">
      <w:pPr>
        <w:pStyle w:val="2"/>
        <w:spacing w:before="178" w:line="350" w:lineRule="auto"/>
        <w:ind w:right="108"/>
        <w:jc w:val="both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spacing w:val="3"/>
        </w:rPr>
        <w:t>确保质量保证部门制定并有效实施检查计划，对检查</w:t>
      </w:r>
      <w:r>
        <w:rPr>
          <w:spacing w:val="4"/>
          <w:w w:val="99"/>
        </w:rPr>
        <w:t xml:space="preserve"> </w:t>
      </w:r>
      <w:r>
        <w:rPr>
          <w:spacing w:val="12"/>
        </w:rPr>
        <w:t>中发现的问题进行跟踪，确保所有异常情况及重大偏离实</w:t>
      </w:r>
      <w:r>
        <w:rPr>
          <w:spacing w:val="-157"/>
        </w:rPr>
        <w:t xml:space="preserve"> </w:t>
      </w:r>
      <w:r>
        <w:rPr>
          <w:spacing w:val="12"/>
        </w:rPr>
        <w:t>验方案和标准操作规程的情况经过调查并得到及时有效的</w:t>
      </w:r>
      <w:r>
        <w:rPr>
          <w:w w:val="99"/>
        </w:rPr>
        <w:t xml:space="preserve"> </w:t>
      </w:r>
      <w:r>
        <w:t>处理，保留相关记录和报告；</w:t>
      </w:r>
    </w:p>
    <w:p w14:paraId="69449960">
      <w:pPr>
        <w:pStyle w:val="2"/>
        <w:spacing w:before="58" w:line="336" w:lineRule="auto"/>
        <w:ind w:right="115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3.</w:t>
      </w:r>
      <w:r>
        <w:rPr>
          <w:spacing w:val="3"/>
          <w:w w:val="95"/>
        </w:rPr>
        <w:t>负责质量保证部门标准操作规程的审核，及时对质量</w:t>
      </w:r>
      <w:r>
        <w:rPr>
          <w:w w:val="99"/>
        </w:rPr>
        <w:t xml:space="preserve"> </w:t>
      </w:r>
      <w:r>
        <w:t>保证人员进行培训等。</w:t>
      </w:r>
    </w:p>
    <w:p w14:paraId="10FE9448">
      <w:pPr>
        <w:pStyle w:val="2"/>
        <w:spacing w:before="75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6" w:name="_bookmark6"/>
      <w:bookmarkEnd w:id="6"/>
      <w:r>
        <w:rPr>
          <w:rFonts w:ascii="宋体" w:hAnsi="宋体" w:eastAsia="宋体" w:cs="宋体"/>
        </w:rPr>
        <w:t>（四）项目负责人</w:t>
      </w:r>
    </w:p>
    <w:p w14:paraId="0F1EADD7">
      <w:pPr>
        <w:pStyle w:val="2"/>
        <w:spacing w:before="205" w:line="357" w:lineRule="auto"/>
        <w:ind w:right="113"/>
        <w:jc w:val="both"/>
      </w:pPr>
      <w:r>
        <w:rPr>
          <w:spacing w:val="13"/>
        </w:rPr>
        <w:t>项目负责人应当具有药学、医学、生物学、化学或相</w:t>
      </w:r>
      <w:r>
        <w:rPr>
          <w:w w:val="99"/>
        </w:rPr>
        <w:t xml:space="preserve"> </w:t>
      </w:r>
      <w:r>
        <w:rPr>
          <w:spacing w:val="12"/>
        </w:rPr>
        <w:t>关专业本科及以上学历，具有至少两年的生物样品分析检</w:t>
      </w:r>
      <w:r>
        <w:rPr>
          <w:spacing w:val="-158"/>
        </w:rPr>
        <w:t xml:space="preserve"> </w:t>
      </w:r>
      <w:r>
        <w:rPr>
          <w:spacing w:val="12"/>
        </w:rPr>
        <w:t>测工作经验，能够独立进行生物样品分析方法的建立和验</w:t>
      </w:r>
      <w:r>
        <w:rPr>
          <w:w w:val="99"/>
        </w:rPr>
        <w:t xml:space="preserve"> </w:t>
      </w:r>
      <w:r>
        <w:rPr>
          <w:spacing w:val="12"/>
        </w:rPr>
        <w:t>证，对所负责项目的分析方法、分析检测数据和分析报告</w:t>
      </w:r>
      <w:r>
        <w:rPr>
          <w:w w:val="99"/>
        </w:rPr>
        <w:t xml:space="preserve"> </w:t>
      </w:r>
      <w:r>
        <w:t>承担直接责任。</w:t>
      </w:r>
    </w:p>
    <w:p w14:paraId="58528566">
      <w:pPr>
        <w:pStyle w:val="2"/>
        <w:spacing w:before="48" w:line="355" w:lineRule="auto"/>
        <w:ind w:right="118"/>
        <w:jc w:val="both"/>
      </w:pPr>
      <w:r>
        <w:rPr>
          <w:spacing w:val="13"/>
        </w:rPr>
        <w:t>对于疫苗临床样品免疫原性检测项目，项目负责人应</w:t>
      </w:r>
      <w:r>
        <w:rPr>
          <w:w w:val="99"/>
        </w:rPr>
        <w:t xml:space="preserve"> </w:t>
      </w:r>
      <w:r>
        <w:t>当具有至少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t>年疫苗临床样品免疫原性检测经验。</w:t>
      </w:r>
    </w:p>
    <w:p w14:paraId="5DC13E6E">
      <w:pPr>
        <w:pStyle w:val="2"/>
        <w:spacing w:before="8" w:line="240" w:lineRule="auto"/>
        <w:ind w:left="761" w:right="0" w:firstLine="0"/>
        <w:jc w:val="left"/>
      </w:pPr>
      <w:r>
        <w:t>项目负责人的职责包括但不限于：</w:t>
      </w:r>
    </w:p>
    <w:p w14:paraId="6B510895">
      <w:pPr>
        <w:pStyle w:val="2"/>
        <w:spacing w:before="205" w:line="240" w:lineRule="auto"/>
        <w:ind w:left="761" w:right="0" w:firstLine="0"/>
        <w:jc w:val="left"/>
      </w:pPr>
      <w:r>
        <w:rPr>
          <w:rFonts w:ascii="Times New Roman" w:hAnsi="Times New Roman" w:eastAsia="Times New Roman" w:cs="Times New Roman"/>
        </w:rPr>
        <w:t>1.</w:t>
      </w:r>
      <w:r>
        <w:t>参与实验室标准操作规程的制修订；</w:t>
      </w:r>
    </w:p>
    <w:p w14:paraId="79EA24CB">
      <w:pPr>
        <w:pStyle w:val="2"/>
        <w:spacing w:before="179" w:line="240" w:lineRule="auto"/>
        <w:ind w:left="761" w:right="0" w:firstLine="0"/>
        <w:jc w:val="left"/>
      </w:pPr>
      <w:r>
        <w:rPr>
          <w:rFonts w:ascii="Times New Roman" w:hAnsi="Times New Roman" w:eastAsia="Times New Roman" w:cs="Times New Roman"/>
        </w:rPr>
        <w:t>2.</w:t>
      </w:r>
      <w:r>
        <w:t>全面负责项目的管理及实施；</w:t>
      </w:r>
    </w:p>
    <w:p w14:paraId="47D15F0D">
      <w:pPr>
        <w:pStyle w:val="2"/>
        <w:spacing w:before="181" w:line="336" w:lineRule="auto"/>
        <w:ind w:right="117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3.</w:t>
      </w:r>
      <w:r>
        <w:rPr>
          <w:spacing w:val="3"/>
          <w:w w:val="95"/>
        </w:rPr>
        <w:t>确保参与该项目的工作人员明确各自职责，按照实验</w:t>
      </w:r>
      <w:r>
        <w:rPr>
          <w:w w:val="99"/>
        </w:rPr>
        <w:t xml:space="preserve"> </w:t>
      </w:r>
      <w:r>
        <w:t>方案和标准操作规程开展实验；</w:t>
      </w:r>
    </w:p>
    <w:p w14:paraId="041B5B27">
      <w:pPr>
        <w:spacing w:after="0" w:line="336" w:lineRule="auto"/>
        <w:jc w:val="both"/>
        <w:sectPr>
          <w:pgSz w:w="11910" w:h="16840"/>
          <w:pgMar w:top="1380" w:right="1680" w:bottom="1160" w:left="1680" w:header="0" w:footer="970" w:gutter="0"/>
          <w:cols w:space="720" w:num="1"/>
        </w:sectPr>
      </w:pPr>
    </w:p>
    <w:p w14:paraId="0250B363">
      <w:pPr>
        <w:pStyle w:val="2"/>
        <w:spacing w:before="0" w:line="336" w:lineRule="auto"/>
        <w:ind w:right="115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4.</w:t>
      </w:r>
      <w:r>
        <w:rPr>
          <w:spacing w:val="3"/>
          <w:w w:val="95"/>
        </w:rPr>
        <w:t>确保项目使用的实验仪器设备和计算机化系统经过确</w:t>
      </w:r>
      <w:r>
        <w:rPr>
          <w:w w:val="99"/>
        </w:rPr>
        <w:t xml:space="preserve"> </w:t>
      </w:r>
      <w:r>
        <w:t>认或验证，保持适用状态；</w:t>
      </w:r>
    </w:p>
    <w:p w14:paraId="18E3D64B">
      <w:pPr>
        <w:pStyle w:val="2"/>
        <w:spacing w:before="77" w:line="336" w:lineRule="auto"/>
        <w:ind w:right="113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5.</w:t>
      </w:r>
      <w:r>
        <w:rPr>
          <w:spacing w:val="3"/>
          <w:w w:val="95"/>
        </w:rPr>
        <w:t>监控项目进展，确保实验记录及时、完整、准确、清</w:t>
      </w:r>
      <w:r>
        <w:rPr>
          <w:w w:val="99"/>
        </w:rPr>
        <w:t xml:space="preserve"> </w:t>
      </w:r>
      <w:r>
        <w:t>晰，实验结果真实可靠；</w:t>
      </w:r>
    </w:p>
    <w:p w14:paraId="203DE8FB">
      <w:pPr>
        <w:pStyle w:val="2"/>
        <w:spacing w:before="77" w:line="345" w:lineRule="auto"/>
        <w:ind w:right="115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6.</w:t>
      </w:r>
      <w:r>
        <w:rPr>
          <w:spacing w:val="3"/>
          <w:w w:val="95"/>
        </w:rPr>
        <w:t>按照实验室质量管理体系要求审核或审批实验方案及</w:t>
      </w:r>
      <w:r>
        <w:rPr>
          <w:w w:val="99"/>
        </w:rPr>
        <w:t xml:space="preserve"> </w:t>
      </w:r>
      <w:r>
        <w:rPr>
          <w:spacing w:val="12"/>
        </w:rPr>
        <w:t>其修订案，确保质量保证人员及时获得批准的实验方案及</w:t>
      </w:r>
      <w:r>
        <w:rPr>
          <w:w w:val="99"/>
        </w:rPr>
        <w:t xml:space="preserve"> </w:t>
      </w:r>
      <w:r>
        <w:t>其修订案；</w:t>
      </w:r>
    </w:p>
    <w:p w14:paraId="2124FA8F">
      <w:pPr>
        <w:pStyle w:val="2"/>
        <w:spacing w:before="65" w:line="336" w:lineRule="auto"/>
        <w:ind w:right="115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7.</w:t>
      </w:r>
      <w:r>
        <w:rPr>
          <w:spacing w:val="3"/>
          <w:w w:val="95"/>
        </w:rPr>
        <w:t>组织建立和验证分析方法，按照实验室质量管理体系</w:t>
      </w:r>
      <w:r>
        <w:rPr>
          <w:w w:val="99"/>
        </w:rPr>
        <w:t xml:space="preserve"> </w:t>
      </w:r>
      <w:r>
        <w:t>要求审核或审批方法学验证报告；</w:t>
      </w:r>
    </w:p>
    <w:p w14:paraId="32AD33C1">
      <w:pPr>
        <w:pStyle w:val="2"/>
        <w:spacing w:before="75" w:line="338" w:lineRule="auto"/>
        <w:ind w:right="115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8.</w:t>
      </w:r>
      <w:r>
        <w:rPr>
          <w:spacing w:val="3"/>
          <w:w w:val="95"/>
        </w:rPr>
        <w:t>分析实验数据，按照实验室质量管理体系要求审核或</w:t>
      </w:r>
      <w:r>
        <w:rPr>
          <w:w w:val="99"/>
        </w:rPr>
        <w:t xml:space="preserve"> </w:t>
      </w:r>
      <w:r>
        <w:t>审批生物样品分析报告；</w:t>
      </w:r>
    </w:p>
    <w:p w14:paraId="47FFC26F">
      <w:pPr>
        <w:pStyle w:val="2"/>
        <w:spacing w:before="71" w:line="350" w:lineRule="auto"/>
        <w:ind w:right="113"/>
        <w:jc w:val="both"/>
      </w:pPr>
      <w:r>
        <w:rPr>
          <w:rFonts w:ascii="Times New Roman" w:hAnsi="Times New Roman" w:eastAsia="Times New Roman" w:cs="Times New Roman"/>
          <w:spacing w:val="2"/>
        </w:rPr>
        <w:t>9.</w:t>
      </w:r>
      <w:r>
        <w:rPr>
          <w:spacing w:val="2"/>
        </w:rPr>
        <w:t>确保对异常情况及重大偏离实验方案和标准操作规程</w:t>
      </w:r>
      <w:r>
        <w:rPr>
          <w:w w:val="99"/>
        </w:rPr>
        <w:t xml:space="preserve"> </w:t>
      </w:r>
      <w:r>
        <w:rPr>
          <w:spacing w:val="12"/>
        </w:rPr>
        <w:t>的情况及时采取了有效地调查、处理并保存相关记录；评</w:t>
      </w:r>
      <w:r>
        <w:rPr>
          <w:spacing w:val="-157"/>
        </w:rPr>
        <w:t xml:space="preserve"> </w:t>
      </w:r>
      <w:r>
        <w:rPr>
          <w:spacing w:val="12"/>
        </w:rPr>
        <w:t>估偏离和异常情况对实验数据的影响，必要时应当制定相</w:t>
      </w:r>
      <w:r>
        <w:rPr>
          <w:spacing w:val="-158"/>
        </w:rPr>
        <w:t xml:space="preserve"> </w:t>
      </w:r>
      <w:r>
        <w:t>应的预防措施；</w:t>
      </w:r>
    </w:p>
    <w:p w14:paraId="45DAFCBE">
      <w:pPr>
        <w:pStyle w:val="2"/>
        <w:spacing w:before="58" w:line="336" w:lineRule="auto"/>
        <w:ind w:right="115"/>
        <w:jc w:val="both"/>
      </w:pPr>
      <w:r>
        <w:rPr>
          <w:rFonts w:ascii="Times New Roman" w:hAnsi="Times New Roman" w:eastAsia="Times New Roman" w:cs="Times New Roman"/>
          <w:spacing w:val="9"/>
        </w:rPr>
        <w:t>10.</w:t>
      </w:r>
      <w:r>
        <w:rPr>
          <w:spacing w:val="9"/>
        </w:rPr>
        <w:t>及时处理质量保证部门发现的问题，确保问题得到</w:t>
      </w:r>
      <w:r>
        <w:rPr>
          <w:w w:val="99"/>
        </w:rPr>
        <w:t xml:space="preserve"> </w:t>
      </w:r>
      <w:r>
        <w:t>有效处理；</w:t>
      </w:r>
    </w:p>
    <w:p w14:paraId="7C9BF553">
      <w:pPr>
        <w:pStyle w:val="2"/>
        <w:spacing w:before="75" w:line="240" w:lineRule="auto"/>
        <w:ind w:left="761" w:right="0" w:firstLine="0"/>
        <w:jc w:val="left"/>
      </w:pPr>
      <w:r>
        <w:rPr>
          <w:rFonts w:ascii="Times New Roman" w:hAnsi="Times New Roman" w:eastAsia="Times New Roman" w:cs="Times New Roman"/>
        </w:rPr>
        <w:t>11.</w:t>
      </w:r>
      <w:r>
        <w:t>项目结束后，确保实验资料按时限要求归档。</w:t>
      </w:r>
    </w:p>
    <w:p w14:paraId="2BC08ADC">
      <w:pPr>
        <w:pStyle w:val="2"/>
        <w:spacing w:before="181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7" w:name="_bookmark7"/>
      <w:bookmarkEnd w:id="7"/>
      <w:r>
        <w:rPr>
          <w:rFonts w:ascii="宋体" w:hAnsi="宋体" w:eastAsia="宋体" w:cs="宋体"/>
        </w:rPr>
        <w:t>（五）分析检测人员</w:t>
      </w:r>
    </w:p>
    <w:p w14:paraId="26544EC9">
      <w:pPr>
        <w:pStyle w:val="2"/>
        <w:spacing w:before="203" w:line="357" w:lineRule="auto"/>
        <w:ind w:right="423"/>
        <w:jc w:val="both"/>
      </w:pPr>
      <w:r>
        <w:t>分析检测人员应当具有药学、医学、生物学、化学或</w:t>
      </w:r>
      <w:r>
        <w:rPr>
          <w:w w:val="99"/>
        </w:rPr>
        <w:t xml:space="preserve"> </w:t>
      </w:r>
      <w:r>
        <w:t>相关专业背景，接受过相关法律法规、技术规范、分析方</w:t>
      </w:r>
      <w:r>
        <w:rPr>
          <w:w w:val="99"/>
        </w:rPr>
        <w:t xml:space="preserve"> </w:t>
      </w:r>
      <w:r>
        <w:t>法、质量控制方法以及安全防护和意外事件处置等培训并</w:t>
      </w:r>
    </w:p>
    <w:p w14:paraId="6307E274">
      <w:pPr>
        <w:spacing w:after="0" w:line="357" w:lineRule="auto"/>
        <w:jc w:val="both"/>
        <w:sectPr>
          <w:pgSz w:w="11910" w:h="16840"/>
          <w:pgMar w:top="1380" w:right="1680" w:bottom="1160" w:left="1680" w:header="0" w:footer="970" w:gutter="0"/>
          <w:cols w:space="720" w:num="1"/>
        </w:sectPr>
      </w:pPr>
    </w:p>
    <w:p w14:paraId="68A854AC">
      <w:pPr>
        <w:pStyle w:val="2"/>
        <w:spacing w:before="0" w:line="357" w:lineRule="auto"/>
        <w:ind w:right="746" w:firstLine="0"/>
        <w:jc w:val="both"/>
      </w:pPr>
      <w:r>
        <w:t>保留相关培训记录。对于操作色谱、质谱、酶标仪等分析</w:t>
      </w:r>
      <w:r>
        <w:rPr>
          <w:w w:val="99"/>
        </w:rPr>
        <w:t xml:space="preserve"> </w:t>
      </w:r>
      <w:r>
        <w:t>仪器的人员需接受仪器原理、操作和维护的专业培训，掌</w:t>
      </w:r>
      <w:r>
        <w:rPr>
          <w:w w:val="99"/>
        </w:rPr>
        <w:t xml:space="preserve"> </w:t>
      </w:r>
      <w:r>
        <w:t>握相关的知识和专业技能，在开展分析检测工作前应当通</w:t>
      </w:r>
      <w:r>
        <w:rPr>
          <w:w w:val="99"/>
        </w:rPr>
        <w:t xml:space="preserve"> </w:t>
      </w:r>
      <w:r>
        <w:t>过技术能力考核。</w:t>
      </w:r>
    </w:p>
    <w:p w14:paraId="0F051203">
      <w:pPr>
        <w:pStyle w:val="2"/>
        <w:spacing w:before="48" w:line="355" w:lineRule="auto"/>
        <w:ind w:right="0"/>
        <w:jc w:val="left"/>
      </w:pPr>
      <w:r>
        <w:t>实施疫苗临床样品免疫原性检测的主要分析检测人员</w:t>
      </w:r>
      <w:r>
        <w:rPr>
          <w:w w:val="99"/>
        </w:rPr>
        <w:t xml:space="preserve"> </w:t>
      </w:r>
      <w:r>
        <w:t>应当具备至少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t>年疫苗免疫原性检测的经验。</w:t>
      </w:r>
    </w:p>
    <w:p w14:paraId="53F10D57">
      <w:pPr>
        <w:pStyle w:val="2"/>
        <w:spacing w:before="8" w:line="240" w:lineRule="auto"/>
        <w:ind w:left="761" w:right="0" w:firstLine="0"/>
        <w:jc w:val="left"/>
      </w:pPr>
      <w:r>
        <w:t>分析检测人员的职责包括但不限于：</w:t>
      </w:r>
    </w:p>
    <w:p w14:paraId="4A7371D4">
      <w:pPr>
        <w:pStyle w:val="2"/>
        <w:spacing w:before="206" w:line="336" w:lineRule="auto"/>
        <w:ind w:right="441"/>
        <w:jc w:val="both"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熟悉并严格按照实验方案和相关标准操作规程开展生</w:t>
      </w:r>
      <w:r>
        <w:rPr>
          <w:w w:val="99"/>
        </w:rPr>
        <w:t xml:space="preserve"> </w:t>
      </w:r>
      <w:r>
        <w:t>物样品分析检测工作；</w:t>
      </w:r>
    </w:p>
    <w:p w14:paraId="1464D625">
      <w:pPr>
        <w:pStyle w:val="2"/>
        <w:spacing w:before="75" w:line="240" w:lineRule="auto"/>
        <w:ind w:left="761" w:right="0" w:firstLine="0"/>
        <w:jc w:val="left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spacing w:val="3"/>
        </w:rPr>
        <w:t>及时、完整、准确、清晰地记录实验过程及相关数据；</w:t>
      </w:r>
    </w:p>
    <w:p w14:paraId="22E6842A">
      <w:pPr>
        <w:pStyle w:val="2"/>
        <w:spacing w:before="181" w:line="336" w:lineRule="auto"/>
        <w:ind w:right="435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3.</w:t>
      </w:r>
      <w:r>
        <w:rPr>
          <w:spacing w:val="3"/>
          <w:w w:val="95"/>
        </w:rPr>
        <w:t>及时记录实验过程中偏离实验方案、标准操作规程的</w:t>
      </w:r>
      <w:r>
        <w:rPr>
          <w:w w:val="99"/>
        </w:rPr>
        <w:t xml:space="preserve"> </w:t>
      </w:r>
      <w:r>
        <w:t>情况和异常情况，并及时向项目负责人书面报告。</w:t>
      </w:r>
    </w:p>
    <w:p w14:paraId="421EC3B8">
      <w:pPr>
        <w:pStyle w:val="2"/>
        <w:spacing w:before="77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8" w:name="_bookmark8"/>
      <w:bookmarkEnd w:id="8"/>
      <w:r>
        <w:rPr>
          <w:rFonts w:ascii="宋体" w:hAnsi="宋体" w:eastAsia="宋体" w:cs="宋体"/>
        </w:rPr>
        <w:t>四、设施</w:t>
      </w:r>
    </w:p>
    <w:p w14:paraId="20AC875F">
      <w:pPr>
        <w:pStyle w:val="2"/>
        <w:spacing w:before="203" w:line="357" w:lineRule="auto"/>
        <w:ind w:right="433"/>
        <w:jc w:val="both"/>
      </w:pPr>
      <w:r>
        <w:rPr>
          <w:spacing w:val="13"/>
        </w:rPr>
        <w:t>实验室设施及环境条件应当满足生物样品分析检测工</w:t>
      </w:r>
      <w:r>
        <w:rPr>
          <w:w w:val="99"/>
        </w:rPr>
        <w:t xml:space="preserve"> </w:t>
      </w:r>
      <w:r>
        <w:rPr>
          <w:spacing w:val="12"/>
        </w:rPr>
        <w:t>作需求。各种设施布局合理、运行正常。具有必要的功能</w:t>
      </w:r>
      <w:r>
        <w:rPr>
          <w:w w:val="99"/>
        </w:rPr>
        <w:t xml:space="preserve"> </w:t>
      </w:r>
      <w:r>
        <w:rPr>
          <w:spacing w:val="12"/>
        </w:rPr>
        <w:t>划分和区隔，不同区域可根据需求设置相应的人员进出权</w:t>
      </w:r>
      <w:r>
        <w:rPr>
          <w:spacing w:val="-158"/>
        </w:rPr>
        <w:t xml:space="preserve"> </w:t>
      </w:r>
      <w:r>
        <w:t>限；实验室环境防护应当满足相应要求。</w:t>
      </w:r>
    </w:p>
    <w:p w14:paraId="7E933E2C">
      <w:pPr>
        <w:pStyle w:val="2"/>
        <w:spacing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9" w:name="_bookmark9"/>
      <w:bookmarkEnd w:id="9"/>
      <w:r>
        <w:rPr>
          <w:rFonts w:ascii="宋体" w:hAnsi="宋体" w:eastAsia="宋体" w:cs="宋体"/>
        </w:rPr>
        <w:t>（一）实验设施</w:t>
      </w:r>
    </w:p>
    <w:p w14:paraId="0AC6124B">
      <w:pPr>
        <w:pStyle w:val="2"/>
        <w:spacing w:before="205" w:line="357" w:lineRule="auto"/>
        <w:ind w:right="421"/>
        <w:jc w:val="both"/>
      </w:pPr>
      <w:r>
        <w:rPr>
          <w:spacing w:val="14"/>
          <w:w w:val="95"/>
        </w:rPr>
        <w:t>实验室应当具备完善且状态良好的实验设施，满足分</w:t>
      </w:r>
      <w:r>
        <w:rPr>
          <w:w w:val="99"/>
        </w:rPr>
        <w:t xml:space="preserve"> </w:t>
      </w:r>
      <w:r>
        <w:rPr>
          <w:spacing w:val="13"/>
          <w:w w:val="95"/>
        </w:rPr>
        <w:t>析检测工作需求；应当配备相应的安全防护设施设备，定</w:t>
      </w:r>
      <w:r>
        <w:rPr>
          <w:spacing w:val="71"/>
          <w:w w:val="95"/>
        </w:rPr>
        <w:t xml:space="preserve"> </w:t>
      </w:r>
      <w:r>
        <w:rPr>
          <w:spacing w:val="12"/>
        </w:rPr>
        <w:t>期进行功能检查以确保运行正常。实验室开展特殊生物样</w:t>
      </w:r>
      <w:r>
        <w:rPr>
          <w:w w:val="99"/>
        </w:rPr>
        <w:t xml:space="preserve"> </w:t>
      </w:r>
      <w:r>
        <w:rPr>
          <w:spacing w:val="12"/>
        </w:rPr>
        <w:t>品（如放射性样品、含感染性病原微生物的样品等）分析</w:t>
      </w:r>
    </w:p>
    <w:p w14:paraId="3FEB044F">
      <w:pPr>
        <w:spacing w:after="0" w:line="357" w:lineRule="auto"/>
        <w:jc w:val="both"/>
        <w:sectPr>
          <w:pgSz w:w="11910" w:h="16840"/>
          <w:pgMar w:top="1380" w:right="1360" w:bottom="1160" w:left="1680" w:header="0" w:footer="970" w:gutter="0"/>
          <w:cols w:space="720" w:num="1"/>
        </w:sectPr>
      </w:pPr>
    </w:p>
    <w:p w14:paraId="516A0B6B">
      <w:pPr>
        <w:pStyle w:val="2"/>
        <w:spacing w:before="0" w:line="357" w:lineRule="auto"/>
        <w:ind w:right="413" w:firstLine="0"/>
        <w:jc w:val="both"/>
      </w:pPr>
      <w:r>
        <w:rPr>
          <w:spacing w:val="12"/>
        </w:rPr>
        <w:t>检测工作时，实验设施应当符合相关法律法规要求。含感</w:t>
      </w:r>
      <w:r>
        <w:rPr>
          <w:spacing w:val="-158"/>
        </w:rPr>
        <w:t xml:space="preserve"> </w:t>
      </w:r>
      <w:r>
        <w:rPr>
          <w:spacing w:val="12"/>
        </w:rPr>
        <w:t>染性病原微生物的生物样品分析检测工作，应当按照《人</w:t>
      </w:r>
      <w:r>
        <w:rPr>
          <w:w w:val="99"/>
        </w:rPr>
        <w:t xml:space="preserve"> </w:t>
      </w:r>
      <w:r>
        <w:rPr>
          <w:spacing w:val="12"/>
        </w:rPr>
        <w:t>间传染病病原微生物目录》的要求在相应级别的生物安全</w:t>
      </w:r>
      <w:r>
        <w:rPr>
          <w:w w:val="99"/>
        </w:rPr>
        <w:t xml:space="preserve"> </w:t>
      </w:r>
      <w:r>
        <w:t>实验室内开展</w:t>
      </w:r>
      <w:r>
        <w:rPr>
          <w:spacing w:val="-83"/>
        </w:rPr>
        <w:t xml:space="preserve"> </w:t>
      </w:r>
      <w:r>
        <w:t>。</w:t>
      </w:r>
    </w:p>
    <w:p w14:paraId="7F2AF485">
      <w:pPr>
        <w:pStyle w:val="2"/>
        <w:spacing w:before="48" w:line="355" w:lineRule="auto"/>
        <w:ind w:right="401"/>
        <w:jc w:val="both"/>
      </w:pPr>
      <w:r>
        <w:rPr>
          <w:spacing w:val="14"/>
        </w:rPr>
        <w:t>实验室功能区域划分应当满足预定用途，避免混淆和</w:t>
      </w:r>
      <w:r>
        <w:rPr>
          <w:spacing w:val="14"/>
          <w:w w:val="99"/>
        </w:rPr>
        <w:t xml:space="preserve"> </w:t>
      </w:r>
      <w:r>
        <w:rPr>
          <w:spacing w:val="13"/>
          <w:w w:val="95"/>
        </w:rPr>
        <w:t>交叉污染。实验区与办公区应当有明确划分；应当具有足</w:t>
      </w:r>
      <w:r>
        <w:rPr>
          <w:spacing w:val="73"/>
          <w:w w:val="95"/>
        </w:rPr>
        <w:t xml:space="preserve"> </w:t>
      </w:r>
      <w:r>
        <w:t>够的区域用于生物样品前处理及分析检测工作。</w:t>
      </w:r>
    </w:p>
    <w:p w14:paraId="2FAA4630">
      <w:pPr>
        <w:pStyle w:val="2"/>
        <w:spacing w:before="52" w:line="357" w:lineRule="auto"/>
        <w:ind w:right="101"/>
        <w:jc w:val="left"/>
      </w:pPr>
      <w:r>
        <w:rPr>
          <w:spacing w:val="13"/>
        </w:rPr>
        <w:t>实验室应当具有储存不同实验用品的设施，确保实验</w:t>
      </w:r>
      <w:r>
        <w:rPr>
          <w:w w:val="99"/>
        </w:rPr>
        <w:t xml:space="preserve"> </w:t>
      </w:r>
      <w:r>
        <w:rPr>
          <w:spacing w:val="13"/>
        </w:rPr>
        <w:t>材料、试剂、对照标准物质和生物样品等的储存条件符合</w:t>
      </w:r>
      <w:r>
        <w:rPr>
          <w:spacing w:val="12"/>
          <w:w w:val="99"/>
        </w:rPr>
        <w:t xml:space="preserve"> </w:t>
      </w:r>
      <w:r>
        <w:rPr>
          <w:spacing w:val="12"/>
        </w:rPr>
        <w:t>要求。危险化学品及麻醉药品、精神药品、医疗用毒性药</w:t>
      </w:r>
      <w:r>
        <w:rPr>
          <w:w w:val="99"/>
        </w:rPr>
        <w:t xml:space="preserve"> </w:t>
      </w:r>
      <w:r>
        <w:rPr>
          <w:spacing w:val="12"/>
        </w:rPr>
        <w:t>品、放射性药品、药品类易制毒化学品等需特殊管理药品</w:t>
      </w:r>
      <w:r>
        <w:rPr>
          <w:w w:val="99"/>
        </w:rPr>
        <w:t xml:space="preserve"> </w:t>
      </w:r>
      <w:r>
        <w:rPr>
          <w:spacing w:val="12"/>
          <w:w w:val="95"/>
        </w:rPr>
        <w:t>的对照标准物质及溶液的储存设施设备应当符合相关规定。</w:t>
      </w:r>
    </w:p>
    <w:p w14:paraId="29C8B84B">
      <w:pPr>
        <w:pStyle w:val="2"/>
        <w:spacing w:before="48" w:line="240" w:lineRule="auto"/>
        <w:ind w:left="761" w:right="101" w:firstLine="0"/>
        <w:jc w:val="left"/>
        <w:rPr>
          <w:rFonts w:ascii="宋体" w:hAnsi="宋体" w:eastAsia="宋体" w:cs="宋体"/>
        </w:rPr>
      </w:pPr>
      <w:bookmarkStart w:id="10" w:name="_bookmark10"/>
      <w:bookmarkEnd w:id="10"/>
      <w:r>
        <w:rPr>
          <w:rFonts w:ascii="宋体" w:hAnsi="宋体" w:eastAsia="宋体" w:cs="宋体"/>
        </w:rPr>
        <w:t>（二）档案设施</w:t>
      </w:r>
    </w:p>
    <w:p w14:paraId="4BD2B70D">
      <w:pPr>
        <w:pStyle w:val="2"/>
        <w:spacing w:before="203" w:line="357" w:lineRule="auto"/>
        <w:ind w:right="723"/>
        <w:jc w:val="both"/>
      </w:pPr>
      <w:r>
        <w:t>实验室应当具有保管实验资料的档案室。档案室应当</w:t>
      </w:r>
      <w:r>
        <w:rPr>
          <w:w w:val="99"/>
        </w:rPr>
        <w:t xml:space="preserve"> </w:t>
      </w:r>
      <w:r>
        <w:t>配备消防和自动报警设备。根据档案载体类型的不同，选</w:t>
      </w:r>
      <w:r>
        <w:rPr>
          <w:w w:val="99"/>
        </w:rPr>
        <w:t xml:space="preserve"> </w:t>
      </w:r>
      <w:r>
        <w:t>择适宜的且对档案无二次损害的灭火设备。</w:t>
      </w:r>
    </w:p>
    <w:p w14:paraId="78480C1B">
      <w:pPr>
        <w:pStyle w:val="2"/>
        <w:spacing w:line="355" w:lineRule="auto"/>
        <w:ind w:right="723"/>
        <w:jc w:val="both"/>
      </w:pPr>
      <w:r>
        <w:t>档案室应当配备温湿度监测调控设备，监测、记录温</w:t>
      </w:r>
      <w:r>
        <w:rPr>
          <w:w w:val="99"/>
        </w:rPr>
        <w:t xml:space="preserve"> </w:t>
      </w:r>
      <w:r>
        <w:t>湿度并根据需要采取调节措施。</w:t>
      </w:r>
    </w:p>
    <w:p w14:paraId="18F754E9">
      <w:pPr>
        <w:pStyle w:val="2"/>
        <w:spacing w:before="51" w:line="357" w:lineRule="auto"/>
        <w:ind w:right="725"/>
        <w:jc w:val="both"/>
      </w:pPr>
      <w:r>
        <w:t>实验室应当做好档案防火、防盗、防紫外线、防有害</w:t>
      </w:r>
      <w:r>
        <w:rPr>
          <w:w w:val="99"/>
        </w:rPr>
        <w:t xml:space="preserve"> </w:t>
      </w:r>
      <w:r>
        <w:t>生物、防水、防潮、防尘、防高温、防有害气体等工作。</w:t>
      </w:r>
      <w:r>
        <w:rPr>
          <w:w w:val="99"/>
        </w:rPr>
        <w:t xml:space="preserve"> </w:t>
      </w:r>
      <w:r>
        <w:t>如档案采用磁性载体，还应当符合磁性载体档案管理和保</w:t>
      </w:r>
      <w:r>
        <w:rPr>
          <w:w w:val="99"/>
        </w:rPr>
        <w:t xml:space="preserve"> </w:t>
      </w:r>
      <w:r>
        <w:t>护的相关规定。</w:t>
      </w:r>
    </w:p>
    <w:p w14:paraId="1AB02DFD">
      <w:pPr>
        <w:spacing w:after="0" w:line="357" w:lineRule="auto"/>
        <w:jc w:val="both"/>
        <w:sectPr>
          <w:pgSz w:w="11910" w:h="16840"/>
          <w:pgMar w:top="1380" w:right="1380" w:bottom="1160" w:left="1680" w:header="0" w:footer="970" w:gutter="0"/>
          <w:cols w:space="720" w:num="1"/>
        </w:sectPr>
      </w:pPr>
    </w:p>
    <w:p w14:paraId="37ED310B">
      <w:pPr>
        <w:pStyle w:val="2"/>
        <w:spacing w:before="0" w:line="408" w:lineRule="exact"/>
        <w:ind w:left="761" w:right="0" w:firstLine="0"/>
        <w:jc w:val="left"/>
        <w:rPr>
          <w:rFonts w:ascii="宋体" w:hAnsi="宋体" w:eastAsia="宋体" w:cs="宋体"/>
        </w:rPr>
      </w:pPr>
      <w:bookmarkStart w:id="11" w:name="_bookmark11"/>
      <w:bookmarkEnd w:id="11"/>
      <w:r>
        <w:rPr>
          <w:rFonts w:ascii="宋体" w:hAnsi="宋体" w:eastAsia="宋体" w:cs="宋体"/>
        </w:rPr>
        <w:t>（三）废物处理</w:t>
      </w:r>
    </w:p>
    <w:p w14:paraId="419ECA18">
      <w:pPr>
        <w:pStyle w:val="2"/>
        <w:spacing w:before="203" w:line="357" w:lineRule="auto"/>
        <w:ind w:right="421"/>
        <w:jc w:val="both"/>
      </w:pPr>
      <w:r>
        <w:rPr>
          <w:spacing w:val="13"/>
        </w:rPr>
        <w:t>实验室应当具备处置废弃物的设施。对废弃的麻醉药</w:t>
      </w:r>
      <w:r>
        <w:rPr>
          <w:w w:val="99"/>
        </w:rPr>
        <w:t xml:space="preserve"> </w:t>
      </w:r>
      <w:r>
        <w:rPr>
          <w:spacing w:val="13"/>
          <w:w w:val="95"/>
        </w:rPr>
        <w:t>品、精神药品和放射性、毒性等相关废物的处置应当按照</w:t>
      </w:r>
      <w:r>
        <w:rPr>
          <w:spacing w:val="73"/>
          <w:w w:val="95"/>
        </w:rPr>
        <w:t xml:space="preserve"> </w:t>
      </w:r>
      <w:r>
        <w:t>国家有关法律法规、技术规范执行。</w:t>
      </w:r>
    </w:p>
    <w:p w14:paraId="4ACBC8F2">
      <w:pPr>
        <w:pStyle w:val="2"/>
        <w:spacing w:before="48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12" w:name="_bookmark12"/>
      <w:bookmarkEnd w:id="12"/>
      <w:r>
        <w:rPr>
          <w:rFonts w:ascii="宋体" w:hAnsi="宋体" w:eastAsia="宋体" w:cs="宋体"/>
        </w:rPr>
        <w:t>五、仪器设备</w:t>
      </w:r>
    </w:p>
    <w:p w14:paraId="256FD480">
      <w:pPr>
        <w:pStyle w:val="2"/>
        <w:spacing w:before="203" w:line="357" w:lineRule="auto"/>
        <w:ind w:right="435"/>
        <w:jc w:val="both"/>
      </w:pPr>
      <w:r>
        <w:rPr>
          <w:spacing w:val="13"/>
        </w:rPr>
        <w:t>实验室应当配备与生物样品分析检测工作相适应的仪</w:t>
      </w:r>
      <w:r>
        <w:rPr>
          <w:w w:val="99"/>
        </w:rPr>
        <w:t xml:space="preserve"> </w:t>
      </w:r>
      <w:r>
        <w:rPr>
          <w:spacing w:val="12"/>
        </w:rPr>
        <w:t>器设备；仪器的量程、精度、分辨率等应当符合相应技术</w:t>
      </w:r>
      <w:r>
        <w:rPr>
          <w:w w:val="99"/>
        </w:rPr>
        <w:t xml:space="preserve"> </w:t>
      </w:r>
      <w:r>
        <w:t>指标的要求。仪器设备放置地点应当合理。</w:t>
      </w:r>
    </w:p>
    <w:p w14:paraId="4FF39AA1">
      <w:pPr>
        <w:pStyle w:val="2"/>
        <w:spacing w:line="357" w:lineRule="auto"/>
        <w:ind w:right="0"/>
        <w:jc w:val="left"/>
      </w:pPr>
      <w:r>
        <w:rPr>
          <w:spacing w:val="13"/>
          <w:w w:val="95"/>
        </w:rPr>
        <w:t>实验室应当具有仪器设备清单、操作手册或操作规程，</w:t>
      </w:r>
      <w:r>
        <w:rPr>
          <w:w w:val="99"/>
        </w:rPr>
        <w:t xml:space="preserve"> </w:t>
      </w:r>
      <w:r>
        <w:rPr>
          <w:spacing w:val="12"/>
        </w:rPr>
        <w:t>主要仪器设备周期性校准、维护计划和程序，主要仪器设</w:t>
      </w:r>
      <w:r>
        <w:rPr>
          <w:w w:val="99"/>
        </w:rPr>
        <w:t xml:space="preserve"> </w:t>
      </w:r>
      <w:r>
        <w:t>备使用、校准、维护、维修日志等。</w:t>
      </w:r>
    </w:p>
    <w:p w14:paraId="4BC795BF">
      <w:pPr>
        <w:pStyle w:val="2"/>
        <w:spacing w:line="355" w:lineRule="auto"/>
        <w:ind w:right="0"/>
        <w:jc w:val="left"/>
      </w:pPr>
      <w:r>
        <w:rPr>
          <w:spacing w:val="13"/>
        </w:rPr>
        <w:t>实验室应当指定专人管理仪器设备；建立主要仪器设</w:t>
      </w:r>
      <w:r>
        <w:rPr>
          <w:w w:val="99"/>
        </w:rPr>
        <w:t xml:space="preserve"> </w:t>
      </w:r>
      <w:r>
        <w:rPr>
          <w:spacing w:val="12"/>
        </w:rPr>
        <w:t>备的管理档案并由专业技术人员按照仪器的使用目的及要</w:t>
      </w:r>
      <w:r>
        <w:rPr>
          <w:w w:val="99"/>
        </w:rPr>
        <w:t xml:space="preserve"> </w:t>
      </w:r>
      <w:r>
        <w:rPr>
          <w:spacing w:val="13"/>
        </w:rPr>
        <w:t>求定期进行检定、校准、维护和期间核查。用于分析检测</w:t>
      </w:r>
      <w:r>
        <w:rPr>
          <w:spacing w:val="12"/>
          <w:w w:val="99"/>
        </w:rPr>
        <w:t xml:space="preserve"> </w:t>
      </w:r>
      <w:r>
        <w:rPr>
          <w:spacing w:val="11"/>
        </w:rPr>
        <w:t>的仪器在启用前应当进行安装确认、运行确认和性能确认，</w:t>
      </w:r>
      <w:r>
        <w:rPr>
          <w:spacing w:val="-158"/>
        </w:rPr>
        <w:t xml:space="preserve"> </w:t>
      </w:r>
      <w:r>
        <w:rPr>
          <w:spacing w:val="12"/>
        </w:rPr>
        <w:t>并保存相关记录。实验室应当根据仪器设备的性能要求定</w:t>
      </w:r>
      <w:r>
        <w:rPr>
          <w:w w:val="99"/>
        </w:rPr>
        <w:t xml:space="preserve"> </w:t>
      </w:r>
      <w:r>
        <w:rPr>
          <w:spacing w:val="13"/>
        </w:rPr>
        <w:t>期进行性能确认并保存相关记录，确保仪器设备持续符合</w:t>
      </w:r>
      <w:r>
        <w:rPr>
          <w:spacing w:val="12"/>
          <w:w w:val="99"/>
        </w:rPr>
        <w:t xml:space="preserve"> </w:t>
      </w:r>
      <w:r>
        <w:rPr>
          <w:spacing w:val="8"/>
        </w:rPr>
        <w:t>使用要求。仪器设备应当有明显的检定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校准信息及使用状</w:t>
      </w:r>
      <w:r>
        <w:rPr>
          <w:w w:val="99"/>
        </w:rPr>
        <w:t xml:space="preserve"> </w:t>
      </w:r>
      <w:r>
        <w:rPr>
          <w:spacing w:val="12"/>
        </w:rPr>
        <w:t>态标识，对不合格、待修、待检的仪器应当及时联系相关</w:t>
      </w:r>
      <w:r>
        <w:rPr>
          <w:w w:val="99"/>
        </w:rPr>
        <w:t xml:space="preserve"> </w:t>
      </w:r>
      <w:r>
        <w:t>技术人员进行处理。</w:t>
      </w:r>
    </w:p>
    <w:p w14:paraId="4E0759A9">
      <w:pPr>
        <w:pStyle w:val="2"/>
        <w:spacing w:before="51" w:line="355" w:lineRule="auto"/>
        <w:ind w:right="0"/>
        <w:jc w:val="left"/>
      </w:pPr>
      <w:r>
        <w:rPr>
          <w:spacing w:val="13"/>
        </w:rPr>
        <w:t>实验室应当根据生物样品分析检测工作需求配备相应</w:t>
      </w:r>
      <w:r>
        <w:rPr>
          <w:w w:val="99"/>
        </w:rPr>
        <w:t xml:space="preserve"> </w:t>
      </w:r>
      <w:r>
        <w:rPr>
          <w:spacing w:val="12"/>
        </w:rPr>
        <w:t>的环境温湿度监测设备，保留温湿度记录。冰箱需配备温</w:t>
      </w:r>
    </w:p>
    <w:p w14:paraId="2B59841A">
      <w:pPr>
        <w:spacing w:after="0" w:line="355" w:lineRule="auto"/>
        <w:jc w:val="left"/>
        <w:sectPr>
          <w:footerReference r:id="rId6" w:type="default"/>
          <w:pgSz w:w="11910" w:h="16840"/>
          <w:pgMar w:top="1380" w:right="1360" w:bottom="1160" w:left="1680" w:header="0" w:footer="970" w:gutter="0"/>
          <w:cols w:space="720" w:num="1"/>
        </w:sectPr>
      </w:pPr>
    </w:p>
    <w:p w14:paraId="2F2B0A5B">
      <w:pPr>
        <w:pStyle w:val="2"/>
        <w:spacing w:before="0" w:line="357" w:lineRule="auto"/>
        <w:ind w:right="0" w:firstLine="0"/>
        <w:jc w:val="left"/>
      </w:pPr>
      <w:r>
        <w:rPr>
          <w:spacing w:val="12"/>
        </w:rPr>
        <w:t>度监测和自动报警设备，保留冰箱温度记录和报警后的处</w:t>
      </w:r>
      <w:r>
        <w:rPr>
          <w:w w:val="99"/>
        </w:rPr>
        <w:t xml:space="preserve"> </w:t>
      </w:r>
      <w:r>
        <w:t>理记录。</w:t>
      </w:r>
    </w:p>
    <w:p w14:paraId="35C0A532">
      <w:pPr>
        <w:pStyle w:val="2"/>
        <w:spacing w:before="48" w:line="355" w:lineRule="auto"/>
        <w:ind w:right="442"/>
        <w:jc w:val="both"/>
      </w:pPr>
      <w:r>
        <w:rPr>
          <w:spacing w:val="13"/>
        </w:rPr>
        <w:t>实验室应当配备完善的供电系统，制定断电后的应急</w:t>
      </w:r>
      <w:r>
        <w:rPr>
          <w:w w:val="99"/>
        </w:rPr>
        <w:t xml:space="preserve"> </w:t>
      </w:r>
      <w:r>
        <w:t>处置预案。</w:t>
      </w:r>
    </w:p>
    <w:p w14:paraId="057244D1">
      <w:pPr>
        <w:pStyle w:val="2"/>
        <w:spacing w:before="51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13" w:name="_bookmark13"/>
      <w:bookmarkEnd w:id="13"/>
      <w:r>
        <w:rPr>
          <w:rFonts w:ascii="宋体" w:hAnsi="宋体" w:eastAsia="宋体" w:cs="宋体"/>
        </w:rPr>
        <w:t>六、计算机化系统</w:t>
      </w:r>
    </w:p>
    <w:p w14:paraId="64B57A46">
      <w:pPr>
        <w:pStyle w:val="2"/>
        <w:spacing w:before="203" w:line="357" w:lineRule="auto"/>
        <w:ind w:right="421"/>
        <w:jc w:val="both"/>
      </w:pPr>
      <w:r>
        <w:rPr>
          <w:spacing w:val="14"/>
        </w:rPr>
        <w:t>当采用计算机化系统生成记录或数据时，应当采取相</w:t>
      </w:r>
      <w:r>
        <w:rPr>
          <w:spacing w:val="14"/>
          <w:w w:val="99"/>
        </w:rPr>
        <w:t xml:space="preserve"> </w:t>
      </w:r>
      <w:r>
        <w:rPr>
          <w:spacing w:val="12"/>
        </w:rPr>
        <w:t>应的管理措施与技术手段，确保生成的信息真实、准确、</w:t>
      </w:r>
      <w:r>
        <w:rPr>
          <w:w w:val="99"/>
        </w:rPr>
        <w:t xml:space="preserve"> </w:t>
      </w:r>
      <w:r>
        <w:rPr>
          <w:spacing w:val="12"/>
        </w:rPr>
        <w:t>完整和可追溯。应当制定相应标准操作规程，包括但不限</w:t>
      </w:r>
      <w:r>
        <w:rPr>
          <w:w w:val="99"/>
        </w:rPr>
        <w:t xml:space="preserve"> </w:t>
      </w:r>
      <w:r>
        <w:rPr>
          <w:spacing w:val="13"/>
          <w:w w:val="95"/>
        </w:rPr>
        <w:t>于用户登录及操作权限管理、数据安全及分级保护、数据</w:t>
      </w:r>
      <w:r>
        <w:rPr>
          <w:spacing w:val="72"/>
          <w:w w:val="95"/>
        </w:rPr>
        <w:t xml:space="preserve"> </w:t>
      </w:r>
      <w:r>
        <w:rPr>
          <w:spacing w:val="12"/>
        </w:rPr>
        <w:t>迁移、数据备份及恢复等，确保数据的安全、可靠、完整</w:t>
      </w:r>
      <w:r>
        <w:rPr>
          <w:w w:val="99"/>
        </w:rPr>
        <w:t xml:space="preserve"> </w:t>
      </w:r>
      <w:r>
        <w:t>及可读。</w:t>
      </w:r>
    </w:p>
    <w:p w14:paraId="145F2A56">
      <w:pPr>
        <w:pStyle w:val="2"/>
        <w:spacing w:line="240" w:lineRule="auto"/>
        <w:ind w:left="761" w:right="0" w:firstLine="0"/>
        <w:jc w:val="left"/>
      </w:pPr>
      <w:r>
        <w:t>计算机化系统应当满足以下基本要求：</w:t>
      </w:r>
    </w:p>
    <w:p w14:paraId="30536020">
      <w:pPr>
        <w:pStyle w:val="2"/>
        <w:spacing w:before="205" w:line="345" w:lineRule="auto"/>
        <w:ind w:right="0"/>
        <w:jc w:val="left"/>
      </w:pPr>
      <w:r>
        <w:rPr>
          <w:rFonts w:ascii="Times New Roman" w:hAnsi="Times New Roman" w:eastAsia="Times New Roman" w:cs="Times New Roman"/>
          <w:spacing w:val="3"/>
          <w:w w:val="95"/>
        </w:rPr>
        <w:t>1.</w:t>
      </w:r>
      <w:r>
        <w:rPr>
          <w:spacing w:val="3"/>
          <w:w w:val="95"/>
        </w:rPr>
        <w:t>设备和配件应当妥善安置，合理设置登录及操作权限，</w:t>
      </w:r>
      <w:r>
        <w:rPr>
          <w:w w:val="99"/>
        </w:rPr>
        <w:t xml:space="preserve"> </w:t>
      </w:r>
      <w:r>
        <w:rPr>
          <w:spacing w:val="12"/>
        </w:rPr>
        <w:t>定期校准系统时间。用户应当严格管理个人账号及密码以</w:t>
      </w:r>
      <w:r>
        <w:rPr>
          <w:spacing w:val="-158"/>
        </w:rPr>
        <w:t xml:space="preserve"> </w:t>
      </w:r>
      <w:r>
        <w:t>防泄露；</w:t>
      </w:r>
    </w:p>
    <w:p w14:paraId="50A13C6E">
      <w:pPr>
        <w:pStyle w:val="2"/>
        <w:spacing w:before="64" w:line="336" w:lineRule="auto"/>
        <w:ind w:right="438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2.</w:t>
      </w:r>
      <w:r>
        <w:rPr>
          <w:spacing w:val="3"/>
          <w:w w:val="95"/>
        </w:rPr>
        <w:t>计算机化系统应当由专业技术人员负责开发、验证、</w:t>
      </w:r>
      <w:r>
        <w:rPr>
          <w:w w:val="99"/>
        </w:rPr>
        <w:t xml:space="preserve"> </w:t>
      </w:r>
      <w:r>
        <w:t>操作和维护并保留相关记录；</w:t>
      </w:r>
    </w:p>
    <w:p w14:paraId="63EF9C4D">
      <w:pPr>
        <w:pStyle w:val="2"/>
        <w:spacing w:before="75" w:line="348" w:lineRule="auto"/>
        <w:ind w:right="437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3.</w:t>
      </w:r>
      <w:r>
        <w:rPr>
          <w:spacing w:val="3"/>
          <w:w w:val="95"/>
        </w:rPr>
        <w:t>计算机化系统验证应当根据系统的基础架构和功能，</w:t>
      </w:r>
      <w:r>
        <w:rPr>
          <w:w w:val="99"/>
        </w:rPr>
        <w:t xml:space="preserve"> </w:t>
      </w:r>
      <w:r>
        <w:rPr>
          <w:spacing w:val="12"/>
        </w:rPr>
        <w:t>综合考虑系统成熟程度与复杂程度等因素，确定验证的范</w:t>
      </w:r>
      <w:r>
        <w:rPr>
          <w:w w:val="99"/>
        </w:rPr>
        <w:t xml:space="preserve"> </w:t>
      </w:r>
      <w:r>
        <w:t>围和程度，确保系统功能符合预定用途；</w:t>
      </w:r>
    </w:p>
    <w:p w14:paraId="0EB002E1">
      <w:pPr>
        <w:pStyle w:val="2"/>
        <w:spacing w:before="61" w:line="336" w:lineRule="auto"/>
        <w:ind w:right="433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4.</w:t>
      </w:r>
      <w:r>
        <w:rPr>
          <w:spacing w:val="3"/>
          <w:w w:val="95"/>
        </w:rPr>
        <w:t>计算机化系统应当通过验证后方可启用。在系统的生</w:t>
      </w:r>
      <w:r>
        <w:rPr>
          <w:w w:val="99"/>
        </w:rPr>
        <w:t xml:space="preserve"> </w:t>
      </w:r>
      <w:r>
        <w:rPr>
          <w:spacing w:val="12"/>
        </w:rPr>
        <w:t>命周期内发生任何改变，如硬件或软件更换、系统升级或</w:t>
      </w:r>
    </w:p>
    <w:p w14:paraId="7DEA5732">
      <w:pPr>
        <w:spacing w:after="0" w:line="336" w:lineRule="auto"/>
        <w:jc w:val="both"/>
        <w:sectPr>
          <w:footerReference r:id="rId7" w:type="default"/>
          <w:pgSz w:w="11910" w:h="16840"/>
          <w:pgMar w:top="1380" w:right="1360" w:bottom="1160" w:left="1680" w:header="0" w:footer="970" w:gutter="0"/>
          <w:pgNumType w:start="11"/>
          <w:cols w:space="720" w:num="1"/>
        </w:sectPr>
      </w:pPr>
    </w:p>
    <w:p w14:paraId="1E2BBB4F">
      <w:pPr>
        <w:pStyle w:val="2"/>
        <w:spacing w:before="0" w:line="357" w:lineRule="auto"/>
        <w:ind w:right="436" w:firstLine="0"/>
        <w:jc w:val="both"/>
      </w:pPr>
      <w:r>
        <w:rPr>
          <w:spacing w:val="12"/>
        </w:rPr>
        <w:t>安装补丁等，需按照变更管理的相关要求，评估变更对系</w:t>
      </w:r>
      <w:r>
        <w:rPr>
          <w:w w:val="99"/>
        </w:rPr>
        <w:t xml:space="preserve"> </w:t>
      </w:r>
      <w:r>
        <w:rPr>
          <w:spacing w:val="12"/>
        </w:rPr>
        <w:t>统的影响，采取相应的措施。必要时重新进行验证，确保</w:t>
      </w:r>
      <w:r>
        <w:rPr>
          <w:w w:val="99"/>
        </w:rPr>
        <w:t xml:space="preserve"> </w:t>
      </w:r>
      <w:r>
        <w:t>系统始终处于验证有效的状态。</w:t>
      </w:r>
    </w:p>
    <w:p w14:paraId="7A45A5EB">
      <w:pPr>
        <w:pStyle w:val="2"/>
        <w:spacing w:line="338" w:lineRule="auto"/>
        <w:ind w:right="438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5.</w:t>
      </w:r>
      <w:r>
        <w:rPr>
          <w:spacing w:val="3"/>
          <w:w w:val="95"/>
        </w:rPr>
        <w:t>计算机化系统应当开启并保存稽查轨迹和仪器日志，</w:t>
      </w:r>
      <w:r>
        <w:rPr>
          <w:w w:val="99"/>
        </w:rPr>
        <w:t xml:space="preserve"> </w:t>
      </w:r>
      <w:r>
        <w:t>并对其保存期限进行规定；</w:t>
      </w:r>
    </w:p>
    <w:p w14:paraId="3A7BBD70">
      <w:pPr>
        <w:pStyle w:val="2"/>
        <w:spacing w:before="71" w:line="336" w:lineRule="auto"/>
        <w:ind w:right="429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6.</w:t>
      </w:r>
      <w:r>
        <w:rPr>
          <w:spacing w:val="3"/>
          <w:w w:val="95"/>
        </w:rPr>
        <w:t>应当对计算机化系统源数据的输出类型和格式进行规</w:t>
      </w:r>
      <w:r>
        <w:rPr>
          <w:spacing w:val="4"/>
          <w:w w:val="99"/>
        </w:rPr>
        <w:t xml:space="preserve"> </w:t>
      </w:r>
      <w:r>
        <w:t>定；</w:t>
      </w:r>
    </w:p>
    <w:p w14:paraId="6454BCBB">
      <w:pPr>
        <w:pStyle w:val="2"/>
        <w:spacing w:before="78" w:line="336" w:lineRule="auto"/>
        <w:ind w:right="0"/>
        <w:jc w:val="left"/>
      </w:pPr>
      <w:r>
        <w:rPr>
          <w:rFonts w:ascii="Times New Roman" w:hAnsi="Times New Roman" w:eastAsia="Times New Roman" w:cs="Times New Roman"/>
          <w:spacing w:val="3"/>
          <w:w w:val="95"/>
        </w:rPr>
        <w:t>7.</w:t>
      </w:r>
      <w:r>
        <w:rPr>
          <w:spacing w:val="3"/>
          <w:w w:val="95"/>
        </w:rPr>
        <w:t>应当定期备份并妥善保存计算机化系统的源数据文件，</w:t>
      </w:r>
      <w:r>
        <w:rPr>
          <w:w w:val="99"/>
        </w:rPr>
        <w:t xml:space="preserve"> </w:t>
      </w:r>
      <w:r>
        <w:t>定期对备份数据进行恢复测试；</w:t>
      </w:r>
    </w:p>
    <w:p w14:paraId="20933CCD">
      <w:pPr>
        <w:pStyle w:val="2"/>
        <w:spacing w:before="75" w:line="338" w:lineRule="auto"/>
        <w:ind w:right="433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8.</w:t>
      </w:r>
      <w:r>
        <w:rPr>
          <w:spacing w:val="3"/>
          <w:w w:val="95"/>
        </w:rPr>
        <w:t>应当制定故障应急处置预案，定期对计算机化系统进</w:t>
      </w:r>
      <w:r>
        <w:rPr>
          <w:w w:val="99"/>
        </w:rPr>
        <w:t xml:space="preserve"> </w:t>
      </w:r>
      <w:r>
        <w:t>行审查和预防性维护；</w:t>
      </w:r>
    </w:p>
    <w:p w14:paraId="01DF5F65">
      <w:pPr>
        <w:pStyle w:val="2"/>
        <w:spacing w:before="71" w:line="338" w:lineRule="auto"/>
        <w:ind w:right="433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9.</w:t>
      </w:r>
      <w:r>
        <w:rPr>
          <w:spacing w:val="3"/>
          <w:w w:val="95"/>
        </w:rPr>
        <w:t>当其他计算机化系统与现有系统进行连接时，应当评</w:t>
      </w:r>
      <w:r>
        <w:rPr>
          <w:w w:val="99"/>
        </w:rPr>
        <w:t xml:space="preserve"> </w:t>
      </w:r>
      <w:r>
        <w:t>估新系统对原系统功能的影响；</w:t>
      </w:r>
    </w:p>
    <w:p w14:paraId="4D6BA1D3">
      <w:pPr>
        <w:pStyle w:val="2"/>
        <w:spacing w:before="72" w:line="350" w:lineRule="auto"/>
        <w:ind w:right="421"/>
        <w:jc w:val="both"/>
      </w:pPr>
      <w:r>
        <w:rPr>
          <w:rFonts w:ascii="Times New Roman" w:hAnsi="Times New Roman" w:eastAsia="Times New Roman" w:cs="Times New Roman"/>
          <w:spacing w:val="9"/>
        </w:rPr>
        <w:t>10.</w:t>
      </w:r>
      <w:r>
        <w:rPr>
          <w:spacing w:val="9"/>
        </w:rPr>
        <w:t>当计算机化系统不再适用时，应当进行退役或停用</w:t>
      </w:r>
      <w:r>
        <w:rPr>
          <w:w w:val="99"/>
        </w:rPr>
        <w:t xml:space="preserve"> </w:t>
      </w:r>
      <w:r>
        <w:rPr>
          <w:spacing w:val="13"/>
          <w:w w:val="95"/>
        </w:rPr>
        <w:t>处理并保留相关处理记录。应当事先评估系统退役或停用</w:t>
      </w:r>
      <w:r>
        <w:rPr>
          <w:spacing w:val="70"/>
          <w:w w:val="95"/>
        </w:rPr>
        <w:t xml:space="preserve"> </w:t>
      </w:r>
      <w:r>
        <w:rPr>
          <w:spacing w:val="12"/>
        </w:rPr>
        <w:t>对现有系统、数据和流程的影响。在系统退役或停用后，</w:t>
      </w:r>
      <w:r>
        <w:rPr>
          <w:w w:val="99"/>
        </w:rPr>
        <w:t xml:space="preserve"> </w:t>
      </w:r>
      <w:r>
        <w:t>应当确保系统中的数据已妥善保存并在保存期内可读。</w:t>
      </w:r>
    </w:p>
    <w:p w14:paraId="357E0BEB">
      <w:pPr>
        <w:pStyle w:val="2"/>
        <w:spacing w:before="55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14" w:name="_bookmark14"/>
      <w:bookmarkEnd w:id="14"/>
      <w:r>
        <w:rPr>
          <w:rFonts w:ascii="宋体" w:hAnsi="宋体" w:eastAsia="宋体" w:cs="宋体"/>
        </w:rPr>
        <w:t>七、关键实验材料和试剂</w:t>
      </w:r>
    </w:p>
    <w:p w14:paraId="0D424BD2">
      <w:pPr>
        <w:pStyle w:val="2"/>
        <w:spacing w:before="205" w:line="357" w:lineRule="auto"/>
        <w:ind w:right="433"/>
        <w:jc w:val="both"/>
      </w:pPr>
      <w:r>
        <w:rPr>
          <w:spacing w:val="13"/>
        </w:rPr>
        <w:t>关键实验材料和试剂包括实验中使用的空白基质、对</w:t>
      </w:r>
      <w:r>
        <w:rPr>
          <w:w w:val="99"/>
        </w:rPr>
        <w:t xml:space="preserve"> </w:t>
      </w:r>
      <w:r>
        <w:rPr>
          <w:spacing w:val="12"/>
        </w:rPr>
        <w:t>照标准物质、检测试剂盒、检测用细胞、菌毒株等。应当</w:t>
      </w:r>
      <w:r>
        <w:rPr>
          <w:spacing w:val="-157"/>
        </w:rPr>
        <w:t xml:space="preserve"> </w:t>
      </w:r>
      <w:r>
        <w:rPr>
          <w:spacing w:val="12"/>
        </w:rPr>
        <w:t>使用与验证方法一致并符合实验方案要求的实验材料和试</w:t>
      </w:r>
      <w:r>
        <w:rPr>
          <w:spacing w:val="-157"/>
        </w:rPr>
        <w:t xml:space="preserve"> </w:t>
      </w:r>
      <w:r>
        <w:t>剂。</w:t>
      </w:r>
    </w:p>
    <w:p w14:paraId="4AE2CBBE">
      <w:pPr>
        <w:spacing w:after="0" w:line="357" w:lineRule="auto"/>
        <w:jc w:val="both"/>
        <w:sectPr>
          <w:pgSz w:w="11910" w:h="16840"/>
          <w:pgMar w:top="1380" w:right="1360" w:bottom="1160" w:left="1680" w:header="0" w:footer="970" w:gutter="0"/>
          <w:cols w:space="720" w:num="1"/>
        </w:sectPr>
      </w:pPr>
    </w:p>
    <w:p w14:paraId="4A615C94">
      <w:pPr>
        <w:pStyle w:val="2"/>
        <w:spacing w:before="0" w:line="357" w:lineRule="auto"/>
        <w:ind w:right="413"/>
        <w:jc w:val="both"/>
      </w:pPr>
      <w:r>
        <w:rPr>
          <w:spacing w:val="13"/>
        </w:rPr>
        <w:t>关键实验材料和试剂应当有可靠来源，由专人进行受</w:t>
      </w:r>
      <w:r>
        <w:rPr>
          <w:w w:val="99"/>
        </w:rPr>
        <w:t xml:space="preserve"> </w:t>
      </w:r>
      <w:r>
        <w:rPr>
          <w:spacing w:val="12"/>
        </w:rPr>
        <w:t>控管理，保存购买、接收、储存、分发、使用、归还、销</w:t>
      </w:r>
      <w:r>
        <w:rPr>
          <w:w w:val="99"/>
        </w:rPr>
        <w:t xml:space="preserve"> </w:t>
      </w:r>
      <w:r>
        <w:t>毁等相关记录。</w:t>
      </w:r>
    </w:p>
    <w:p w14:paraId="180A92FB">
      <w:pPr>
        <w:pStyle w:val="2"/>
        <w:spacing w:line="357" w:lineRule="auto"/>
        <w:ind w:right="402"/>
        <w:jc w:val="both"/>
      </w:pPr>
      <w:r>
        <w:rPr>
          <w:spacing w:val="14"/>
        </w:rPr>
        <w:t>疫苗免疫原性检测用细胞和菌毒株应当来自于国家、</w:t>
      </w:r>
      <w:r>
        <w:rPr>
          <w:spacing w:val="14"/>
          <w:w w:val="99"/>
        </w:rPr>
        <w:t xml:space="preserve"> </w:t>
      </w:r>
      <w:r>
        <w:rPr>
          <w:spacing w:val="12"/>
        </w:rPr>
        <w:t>国际资源库或保藏中心。如上述机构未收录，应当确保其</w:t>
      </w:r>
      <w:r>
        <w:rPr>
          <w:spacing w:val="-158"/>
        </w:rPr>
        <w:t xml:space="preserve"> </w:t>
      </w:r>
      <w:r>
        <w:t>来源清晰，并符合《中国药典》相关要求。</w:t>
      </w:r>
    </w:p>
    <w:p w14:paraId="29079A11">
      <w:pPr>
        <w:pStyle w:val="2"/>
        <w:spacing w:line="357" w:lineRule="auto"/>
        <w:ind w:right="101"/>
        <w:jc w:val="left"/>
      </w:pPr>
      <w:r>
        <w:rPr>
          <w:spacing w:val="13"/>
        </w:rPr>
        <w:t>对照标准物质应当按照分析证书或经批准的使用说明</w:t>
      </w:r>
      <w:r>
        <w:rPr>
          <w:w w:val="99"/>
        </w:rPr>
        <w:t xml:space="preserve"> </w:t>
      </w:r>
      <w:r>
        <w:rPr>
          <w:spacing w:val="13"/>
        </w:rPr>
        <w:t>书规定进行储存和使用。如遇特殊情况无法按照规定储存</w:t>
      </w:r>
      <w:r>
        <w:rPr>
          <w:spacing w:val="12"/>
          <w:w w:val="99"/>
        </w:rPr>
        <w:t xml:space="preserve"> </w:t>
      </w:r>
      <w:r>
        <w:rPr>
          <w:spacing w:val="3"/>
        </w:rPr>
        <w:t>的，实验室应当进行风险评估</w:t>
      </w:r>
      <w:r>
        <w:rPr>
          <w:rFonts w:ascii="宋体" w:hAnsi="宋体" w:eastAsia="宋体" w:cs="宋体"/>
          <w:color w:val="050507"/>
          <w:spacing w:val="3"/>
          <w:sz w:val="21"/>
          <w:szCs w:val="21"/>
        </w:rPr>
        <w:t>。</w:t>
      </w:r>
      <w:r>
        <w:rPr>
          <w:spacing w:val="3"/>
        </w:rPr>
        <w:t>实验室应当具有对照标准物</w:t>
      </w:r>
      <w:r>
        <w:rPr>
          <w:spacing w:val="-156"/>
        </w:rPr>
        <w:t xml:space="preserve"> </w:t>
      </w:r>
      <w:r>
        <w:rPr>
          <w:spacing w:val="12"/>
        </w:rPr>
        <w:t>质清单，定期检查对照标准物质；如发现已不适用于分析</w:t>
      </w:r>
      <w:r>
        <w:rPr>
          <w:w w:val="99"/>
        </w:rPr>
        <w:t xml:space="preserve"> </w:t>
      </w:r>
      <w:r>
        <w:rPr>
          <w:spacing w:val="12"/>
          <w:w w:val="95"/>
        </w:rPr>
        <w:t>工作，应当立即停止使用，并评估对分析检测数据的影响。</w:t>
      </w:r>
    </w:p>
    <w:p w14:paraId="1D78151A">
      <w:pPr>
        <w:pStyle w:val="2"/>
        <w:spacing w:line="357" w:lineRule="auto"/>
        <w:ind w:right="415"/>
        <w:jc w:val="both"/>
      </w:pPr>
      <w:r>
        <w:rPr>
          <w:spacing w:val="13"/>
        </w:rPr>
        <w:t>对于疫苗临床样品免疫原性检测，如有国家标准物质</w:t>
      </w:r>
      <w:r>
        <w:rPr>
          <w:w w:val="99"/>
        </w:rPr>
        <w:t xml:space="preserve"> </w:t>
      </w:r>
      <w:r>
        <w:rPr>
          <w:spacing w:val="12"/>
        </w:rPr>
        <w:t>或国际标准物质（包括细胞、菌毒株），应当采用国家或</w:t>
      </w:r>
      <w:r>
        <w:rPr>
          <w:w w:val="99"/>
        </w:rPr>
        <w:t xml:space="preserve"> </w:t>
      </w:r>
      <w:r>
        <w:t>国</w:t>
      </w:r>
      <w:r>
        <w:rPr>
          <w:spacing w:val="-116"/>
        </w:rPr>
        <w:t xml:space="preserve"> </w:t>
      </w:r>
      <w:r>
        <w:t>际</w:t>
      </w:r>
      <w:r>
        <w:rPr>
          <w:spacing w:val="-119"/>
        </w:rPr>
        <w:t xml:space="preserve"> </w:t>
      </w:r>
      <w:r>
        <w:t>标</w:t>
      </w:r>
      <w:r>
        <w:rPr>
          <w:spacing w:val="-119"/>
        </w:rPr>
        <w:t xml:space="preserve"> </w:t>
      </w:r>
      <w:r>
        <w:t>准</w:t>
      </w:r>
      <w:r>
        <w:rPr>
          <w:spacing w:val="-119"/>
        </w:rPr>
        <w:t xml:space="preserve"> </w:t>
      </w:r>
      <w:r>
        <w:t>物</w:t>
      </w:r>
      <w:r>
        <w:rPr>
          <w:spacing w:val="-116"/>
        </w:rPr>
        <w:t xml:space="preserve"> </w:t>
      </w:r>
      <w:r>
        <w:t>质</w:t>
      </w:r>
      <w:r>
        <w:rPr>
          <w:spacing w:val="-119"/>
        </w:rPr>
        <w:t xml:space="preserve"> </w:t>
      </w:r>
      <w:r>
        <w:t>，</w:t>
      </w:r>
      <w:r>
        <w:rPr>
          <w:spacing w:val="-116"/>
        </w:rPr>
        <w:t xml:space="preserve"> </w:t>
      </w:r>
      <w:r>
        <w:t>或</w:t>
      </w:r>
      <w:r>
        <w:rPr>
          <w:spacing w:val="-119"/>
        </w:rPr>
        <w:t xml:space="preserve"> </w:t>
      </w:r>
      <w:r>
        <w:t>依</w:t>
      </w:r>
      <w:r>
        <w:rPr>
          <w:spacing w:val="-119"/>
        </w:rPr>
        <w:t xml:space="preserve"> </w:t>
      </w:r>
      <w:r>
        <w:t>据</w:t>
      </w:r>
      <w:r>
        <w:rPr>
          <w:spacing w:val="-119"/>
        </w:rPr>
        <w:t xml:space="preserve"> </w:t>
      </w:r>
      <w:r>
        <w:t>《</w:t>
      </w:r>
      <w:r>
        <w:rPr>
          <w:spacing w:val="-116"/>
        </w:rPr>
        <w:t xml:space="preserve"> </w:t>
      </w:r>
      <w:r>
        <w:t>中</w:t>
      </w:r>
      <w:r>
        <w:rPr>
          <w:spacing w:val="-119"/>
        </w:rPr>
        <w:t xml:space="preserve"> </w:t>
      </w:r>
      <w:r>
        <w:t>国</w:t>
      </w:r>
      <w:r>
        <w:rPr>
          <w:spacing w:val="-116"/>
        </w:rPr>
        <w:t xml:space="preserve"> </w:t>
      </w:r>
      <w:r>
        <w:t>药</w:t>
      </w:r>
      <w:r>
        <w:rPr>
          <w:spacing w:val="-119"/>
        </w:rPr>
        <w:t xml:space="preserve"> </w:t>
      </w:r>
      <w:r>
        <w:t>典</w:t>
      </w:r>
      <w:r>
        <w:rPr>
          <w:spacing w:val="-119"/>
        </w:rPr>
        <w:t xml:space="preserve"> </w:t>
      </w:r>
      <w:r>
        <w:t>》</w:t>
      </w:r>
      <w:r>
        <w:rPr>
          <w:spacing w:val="-119"/>
        </w:rPr>
        <w:t xml:space="preserve"> </w:t>
      </w:r>
      <w:r>
        <w:t>或</w:t>
      </w:r>
      <w:r>
        <w:rPr>
          <w:spacing w:val="-109"/>
        </w:rPr>
        <w:t xml:space="preserve"> </w:t>
      </w:r>
      <w:r>
        <w:t>世</w:t>
      </w:r>
      <w:r>
        <w:rPr>
          <w:spacing w:val="-119"/>
        </w:rPr>
        <w:t xml:space="preserve"> </w:t>
      </w:r>
      <w:r>
        <w:t>界</w:t>
      </w:r>
      <w:r>
        <w:rPr>
          <w:spacing w:val="-116"/>
        </w:rPr>
        <w:t xml:space="preserve"> </w:t>
      </w:r>
      <w:r>
        <w:t>卫</w:t>
      </w:r>
      <w:r>
        <w:rPr>
          <w:spacing w:val="-119"/>
        </w:rPr>
        <w:t xml:space="preserve"> </w:t>
      </w:r>
      <w:r>
        <w:t>生</w:t>
      </w:r>
      <w:r>
        <w:rPr>
          <w:spacing w:val="-119"/>
        </w:rPr>
        <w:t xml:space="preserve"> </w:t>
      </w:r>
      <w:r>
        <w:t>组</w:t>
      </w:r>
      <w:r>
        <w:rPr>
          <w:spacing w:val="-119"/>
        </w:rPr>
        <w:t xml:space="preserve"> </w:t>
      </w:r>
      <w:r>
        <w:t>织</w:t>
      </w:r>
    </w:p>
    <w:p w14:paraId="1CCA615C">
      <w:pPr>
        <w:pStyle w:val="2"/>
        <w:spacing w:line="338" w:lineRule="auto"/>
        <w:ind w:right="101" w:firstLine="0"/>
        <w:jc w:val="left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WHO</w:t>
      </w:r>
      <w:r>
        <w:rPr>
          <w:spacing w:val="7"/>
        </w:rPr>
        <w:t>）标准物质相关要求可溯源至国际或国家标准品的</w:t>
      </w:r>
      <w:r>
        <w:rPr>
          <w:spacing w:val="9"/>
          <w:w w:val="99"/>
        </w:rPr>
        <w:t xml:space="preserve"> </w:t>
      </w:r>
      <w:r>
        <w:t>工作标准品进行检测。</w:t>
      </w:r>
    </w:p>
    <w:p w14:paraId="290BC189">
      <w:pPr>
        <w:pStyle w:val="2"/>
        <w:spacing w:before="71" w:line="357" w:lineRule="auto"/>
        <w:ind w:right="416"/>
        <w:jc w:val="both"/>
      </w:pPr>
      <w:r>
        <w:rPr>
          <w:spacing w:val="13"/>
        </w:rPr>
        <w:t>实验室应当制定标准操作规程，明确关键实验材料和</w:t>
      </w:r>
      <w:r>
        <w:rPr>
          <w:w w:val="99"/>
        </w:rPr>
        <w:t xml:space="preserve"> </w:t>
      </w:r>
      <w:r>
        <w:rPr>
          <w:spacing w:val="12"/>
        </w:rPr>
        <w:t>试剂的有效期或复测期。应当关注试剂在配制、储存和使</w:t>
      </w:r>
      <w:r>
        <w:rPr>
          <w:w w:val="99"/>
        </w:rPr>
        <w:t xml:space="preserve"> </w:t>
      </w:r>
      <w:r>
        <w:rPr>
          <w:spacing w:val="12"/>
        </w:rPr>
        <w:t>用过程中的稳定性、安全性。关键材料、试剂或原料批号</w:t>
      </w:r>
      <w:r>
        <w:rPr>
          <w:w w:val="99"/>
        </w:rPr>
        <w:t xml:space="preserve"> </w:t>
      </w:r>
      <w:r>
        <w:t>变更时应当进行确认或验证。</w:t>
      </w:r>
    </w:p>
    <w:p w14:paraId="0AC8498C">
      <w:pPr>
        <w:pStyle w:val="2"/>
        <w:spacing w:before="48" w:line="240" w:lineRule="auto"/>
        <w:ind w:left="761" w:right="101" w:firstLine="0"/>
        <w:jc w:val="left"/>
        <w:rPr>
          <w:rFonts w:ascii="宋体" w:hAnsi="宋体" w:eastAsia="宋体" w:cs="宋体"/>
        </w:rPr>
      </w:pPr>
      <w:bookmarkStart w:id="15" w:name="_bookmark15"/>
      <w:bookmarkEnd w:id="15"/>
      <w:r>
        <w:rPr>
          <w:rFonts w:ascii="宋体" w:hAnsi="宋体" w:eastAsia="宋体" w:cs="宋体"/>
        </w:rPr>
        <w:t>八、生物样品</w:t>
      </w:r>
    </w:p>
    <w:p w14:paraId="7A54787E">
      <w:pPr>
        <w:pStyle w:val="2"/>
        <w:spacing w:before="203" w:line="240" w:lineRule="auto"/>
        <w:ind w:left="761" w:right="101" w:firstLine="0"/>
        <w:jc w:val="left"/>
      </w:pPr>
      <w:r>
        <w:rPr>
          <w:spacing w:val="13"/>
        </w:rPr>
        <w:t>生物样品应当在经验证的条件下进行采集、处理、转</w:t>
      </w:r>
    </w:p>
    <w:p w14:paraId="35290258">
      <w:pPr>
        <w:spacing w:after="0" w:line="240" w:lineRule="auto"/>
        <w:jc w:val="left"/>
        <w:sectPr>
          <w:pgSz w:w="11910" w:h="16840"/>
          <w:pgMar w:top="1380" w:right="1380" w:bottom="1160" w:left="1680" w:header="0" w:footer="970" w:gutter="0"/>
          <w:cols w:space="720" w:num="1"/>
        </w:sectPr>
      </w:pPr>
    </w:p>
    <w:p w14:paraId="757DFD62">
      <w:pPr>
        <w:pStyle w:val="2"/>
        <w:spacing w:before="0" w:line="357" w:lineRule="auto"/>
        <w:ind w:right="114" w:firstLine="0"/>
        <w:jc w:val="both"/>
      </w:pPr>
      <w:r>
        <w:rPr>
          <w:spacing w:val="12"/>
        </w:rPr>
        <w:t>运、保存和分析检测。根据生物样品稳定性数据，实验室</w:t>
      </w:r>
      <w:r>
        <w:rPr>
          <w:w w:val="99"/>
        </w:rPr>
        <w:t xml:space="preserve"> </w:t>
      </w:r>
      <w:r>
        <w:rPr>
          <w:spacing w:val="12"/>
        </w:rPr>
        <w:t>应当在样品采集前向临床试验机构提供样品采集、处理、</w:t>
      </w:r>
      <w:r>
        <w:rPr>
          <w:w w:val="99"/>
        </w:rPr>
        <w:t xml:space="preserve"> </w:t>
      </w:r>
      <w:r>
        <w:t>转运和保存的条件信息。</w:t>
      </w:r>
    </w:p>
    <w:p w14:paraId="7B66628E">
      <w:pPr>
        <w:pStyle w:val="2"/>
        <w:spacing w:line="357" w:lineRule="auto"/>
        <w:ind w:right="113"/>
        <w:jc w:val="both"/>
      </w:pPr>
      <w:r>
        <w:rPr>
          <w:spacing w:val="13"/>
        </w:rPr>
        <w:t>实验室应当指定专人对生物样品进行受控管理，样品</w:t>
      </w:r>
      <w:r>
        <w:rPr>
          <w:w w:val="99"/>
        </w:rPr>
        <w:t xml:space="preserve"> </w:t>
      </w:r>
      <w:r>
        <w:rPr>
          <w:spacing w:val="12"/>
        </w:rPr>
        <w:t>管理员不应参与分析检测工作。生物样品的接收、保存、</w:t>
      </w:r>
      <w:r>
        <w:rPr>
          <w:w w:val="99"/>
        </w:rPr>
        <w:t xml:space="preserve"> </w:t>
      </w:r>
      <w:r>
        <w:t>领用、归还、转移等管理轨迹应当完整可追溯。</w:t>
      </w:r>
    </w:p>
    <w:p w14:paraId="639470BA">
      <w:pPr>
        <w:pStyle w:val="2"/>
        <w:spacing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16" w:name="_bookmark16"/>
      <w:bookmarkEnd w:id="16"/>
      <w:r>
        <w:rPr>
          <w:rFonts w:ascii="宋体" w:hAnsi="宋体" w:eastAsia="宋体" w:cs="宋体"/>
        </w:rPr>
        <w:t>（一）生物样品的转运</w:t>
      </w:r>
    </w:p>
    <w:p w14:paraId="1A8A2F31">
      <w:pPr>
        <w:pStyle w:val="2"/>
        <w:spacing w:before="206" w:line="355" w:lineRule="auto"/>
        <w:ind w:right="102"/>
        <w:jc w:val="both"/>
      </w:pPr>
      <w:r>
        <w:rPr>
          <w:spacing w:val="14"/>
        </w:rPr>
        <w:t>实验室应当采取适当的方式进行生物样品的转运，监</w:t>
      </w:r>
      <w:r>
        <w:rPr>
          <w:spacing w:val="14"/>
          <w:w w:val="99"/>
        </w:rPr>
        <w:t xml:space="preserve"> </w:t>
      </w:r>
      <w:r>
        <w:rPr>
          <w:spacing w:val="12"/>
        </w:rPr>
        <w:t>测转运过程中的温度并保存相关记录，确保转运过程中生</w:t>
      </w:r>
      <w:r>
        <w:rPr>
          <w:spacing w:val="-158"/>
        </w:rPr>
        <w:t xml:space="preserve"> </w:t>
      </w:r>
      <w:r>
        <w:t>物样品的保存条件符合要求。</w:t>
      </w:r>
    </w:p>
    <w:p w14:paraId="6B8CA566">
      <w:pPr>
        <w:pStyle w:val="2"/>
        <w:spacing w:before="51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17" w:name="_bookmark17"/>
      <w:bookmarkEnd w:id="17"/>
      <w:r>
        <w:rPr>
          <w:rFonts w:ascii="宋体" w:hAnsi="宋体" w:eastAsia="宋体" w:cs="宋体"/>
        </w:rPr>
        <w:t>（二）生物样品的接收</w:t>
      </w:r>
    </w:p>
    <w:p w14:paraId="6355B9C7">
      <w:pPr>
        <w:pStyle w:val="2"/>
        <w:spacing w:before="203" w:line="357" w:lineRule="auto"/>
        <w:ind w:right="101"/>
        <w:jc w:val="both"/>
      </w:pPr>
      <w:r>
        <w:rPr>
          <w:spacing w:val="14"/>
        </w:rPr>
        <w:t>实验室应当有足够的空间接收生物样品。接收时应当</w:t>
      </w:r>
      <w:r>
        <w:rPr>
          <w:spacing w:val="14"/>
          <w:w w:val="99"/>
        </w:rPr>
        <w:t xml:space="preserve"> </w:t>
      </w:r>
      <w:r>
        <w:rPr>
          <w:spacing w:val="12"/>
        </w:rPr>
        <w:t>检查样品的标识、状态、数量并保存相关记录。备份样品</w:t>
      </w:r>
      <w:r>
        <w:rPr>
          <w:spacing w:val="-158"/>
        </w:rPr>
        <w:t xml:space="preserve"> </w:t>
      </w:r>
      <w:r>
        <w:rPr>
          <w:spacing w:val="12"/>
        </w:rPr>
        <w:t>若保存在实验室，应当与待测样品存放于不同冰箱中。对</w:t>
      </w:r>
      <w:r>
        <w:rPr>
          <w:spacing w:val="-157"/>
        </w:rPr>
        <w:t xml:space="preserve"> </w:t>
      </w:r>
      <w:r>
        <w:rPr>
          <w:spacing w:val="12"/>
        </w:rPr>
        <w:t>于以药代动力学参数为终点指标的生物等效性试验，通常</w:t>
      </w:r>
      <w:r>
        <w:rPr>
          <w:w w:val="99"/>
        </w:rPr>
        <w:t xml:space="preserve"> </w:t>
      </w:r>
      <w:r>
        <w:rPr>
          <w:spacing w:val="12"/>
        </w:rPr>
        <w:t>情况下不应在样品检测完成前将备份样品寄送至实验室；</w:t>
      </w:r>
      <w:r>
        <w:rPr>
          <w:w w:val="99"/>
        </w:rPr>
        <w:t xml:space="preserve"> </w:t>
      </w:r>
      <w:r>
        <w:rPr>
          <w:spacing w:val="12"/>
        </w:rPr>
        <w:t>如遇特殊情况需启用备份样品的，应当有明确合理理由，</w:t>
      </w:r>
      <w:r>
        <w:rPr>
          <w:w w:val="99"/>
        </w:rPr>
        <w:t xml:space="preserve"> </w:t>
      </w:r>
      <w:r>
        <w:t>并保存相关沟通记录及样品流转记录。</w:t>
      </w:r>
    </w:p>
    <w:p w14:paraId="12648DC6">
      <w:pPr>
        <w:pStyle w:val="2"/>
        <w:spacing w:before="48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18" w:name="_bookmark18"/>
      <w:bookmarkEnd w:id="18"/>
      <w:r>
        <w:rPr>
          <w:rFonts w:ascii="宋体" w:hAnsi="宋体" w:eastAsia="宋体" w:cs="宋体"/>
        </w:rPr>
        <w:t>（三）生物样品的保存</w:t>
      </w:r>
    </w:p>
    <w:p w14:paraId="055CC7ED">
      <w:pPr>
        <w:pStyle w:val="2"/>
        <w:spacing w:before="203" w:line="357" w:lineRule="auto"/>
        <w:ind w:right="101"/>
        <w:jc w:val="both"/>
      </w:pPr>
      <w:r>
        <w:rPr>
          <w:spacing w:val="14"/>
        </w:rPr>
        <w:t>生物样品的保存条件应当符合实验方案要求；当保存</w:t>
      </w:r>
      <w:r>
        <w:rPr>
          <w:spacing w:val="14"/>
          <w:w w:val="99"/>
        </w:rPr>
        <w:t xml:space="preserve"> </w:t>
      </w:r>
      <w:r>
        <w:rPr>
          <w:spacing w:val="13"/>
          <w:w w:val="95"/>
        </w:rPr>
        <w:t>条件偏离可接受范围时，实验室应当及时采取措施并进行</w:t>
      </w:r>
      <w:r>
        <w:rPr>
          <w:spacing w:val="73"/>
          <w:w w:val="95"/>
        </w:rPr>
        <w:t xml:space="preserve"> </w:t>
      </w:r>
      <w:r>
        <w:t>影响评估，保存相关记录。</w:t>
      </w:r>
    </w:p>
    <w:p w14:paraId="6D519FB4">
      <w:pPr>
        <w:spacing w:after="0" w:line="357" w:lineRule="auto"/>
        <w:jc w:val="both"/>
        <w:sectPr>
          <w:pgSz w:w="11910" w:h="16840"/>
          <w:pgMar w:top="1380" w:right="1680" w:bottom="1160" w:left="1680" w:header="0" w:footer="970" w:gutter="0"/>
          <w:cols w:space="720" w:num="1"/>
        </w:sectPr>
      </w:pPr>
    </w:p>
    <w:p w14:paraId="5C38DFE5">
      <w:pPr>
        <w:pStyle w:val="2"/>
        <w:spacing w:before="0" w:line="357" w:lineRule="auto"/>
        <w:ind w:right="415"/>
        <w:jc w:val="both"/>
      </w:pPr>
      <w:r>
        <w:rPr>
          <w:spacing w:val="13"/>
        </w:rPr>
        <w:t>生物样品的保存应当以方法学验证的样品长期冻存稳</w:t>
      </w:r>
      <w:r>
        <w:rPr>
          <w:w w:val="99"/>
        </w:rPr>
        <w:t xml:space="preserve"> </w:t>
      </w:r>
      <w:r>
        <w:rPr>
          <w:spacing w:val="12"/>
        </w:rPr>
        <w:t>定时间为限，超过保存期的样品可按照与申办者的协议进</w:t>
      </w:r>
      <w:r>
        <w:rPr>
          <w:w w:val="99"/>
        </w:rPr>
        <w:t xml:space="preserve"> </w:t>
      </w:r>
      <w:r>
        <w:rPr>
          <w:spacing w:val="12"/>
        </w:rPr>
        <w:t>行处理。但是，对于以药代动力学参数为终点指标的生物</w:t>
      </w:r>
      <w:r>
        <w:rPr>
          <w:w w:val="99"/>
        </w:rPr>
        <w:t xml:space="preserve"> </w:t>
      </w:r>
      <w:r>
        <w:rPr>
          <w:spacing w:val="12"/>
        </w:rPr>
        <w:t>等效性试验，应当将生物样品及长期稳定性考察用质控样</w:t>
      </w:r>
      <w:r>
        <w:rPr>
          <w:w w:val="99"/>
        </w:rPr>
        <w:t xml:space="preserve"> </w:t>
      </w:r>
      <w:r>
        <w:rPr>
          <w:spacing w:val="12"/>
        </w:rPr>
        <w:t>品保存于实验室或者具备条件的独立第三方，直至药品批</w:t>
      </w:r>
      <w:r>
        <w:rPr>
          <w:w w:val="99"/>
        </w:rPr>
        <w:t xml:space="preserve"> </w:t>
      </w:r>
      <w:r>
        <w:rPr>
          <w:spacing w:val="12"/>
        </w:rPr>
        <w:t>准上市。对于疫苗临床样品免疫原性检测，如涉及终点指</w:t>
      </w:r>
      <w:r>
        <w:rPr>
          <w:w w:val="99"/>
        </w:rPr>
        <w:t xml:space="preserve"> </w:t>
      </w:r>
      <w:r>
        <w:t>标检测，生物样品同样应当保存至药品批准上市。</w:t>
      </w:r>
    </w:p>
    <w:p w14:paraId="3A27FC48">
      <w:pPr>
        <w:pStyle w:val="2"/>
        <w:spacing w:before="49" w:line="240" w:lineRule="auto"/>
        <w:ind w:left="761" w:right="101" w:firstLine="0"/>
        <w:jc w:val="left"/>
        <w:rPr>
          <w:rFonts w:ascii="宋体" w:hAnsi="宋体" w:eastAsia="宋体" w:cs="宋体"/>
        </w:rPr>
      </w:pPr>
      <w:bookmarkStart w:id="19" w:name="_bookmark19"/>
      <w:bookmarkEnd w:id="19"/>
      <w:r>
        <w:rPr>
          <w:rFonts w:ascii="宋体" w:hAnsi="宋体" w:eastAsia="宋体" w:cs="宋体"/>
        </w:rPr>
        <w:t>九、合同管理</w:t>
      </w:r>
    </w:p>
    <w:p w14:paraId="5CA903F6">
      <w:pPr>
        <w:pStyle w:val="2"/>
        <w:spacing w:before="203" w:line="357" w:lineRule="auto"/>
        <w:ind w:right="401"/>
        <w:jc w:val="both"/>
      </w:pPr>
      <w:r>
        <w:rPr>
          <w:spacing w:val="13"/>
        </w:rPr>
        <w:t>实验室或其所属机构应当与委托方签订具有中国法律</w:t>
      </w:r>
      <w:r>
        <w:rPr>
          <w:w w:val="99"/>
        </w:rPr>
        <w:t xml:space="preserve"> </w:t>
      </w:r>
      <w:r>
        <w:rPr>
          <w:spacing w:val="13"/>
          <w:w w:val="95"/>
        </w:rPr>
        <w:t>约束力的委托合同，明确试验各方职责、权利和义务，以</w:t>
      </w:r>
      <w:r>
        <w:rPr>
          <w:spacing w:val="73"/>
          <w:w w:val="95"/>
        </w:rPr>
        <w:t xml:space="preserve"> </w:t>
      </w:r>
      <w:r>
        <w:rPr>
          <w:spacing w:val="12"/>
        </w:rPr>
        <w:t>及各方应当避免的可能存在的利益冲突。为确保结果科学</w:t>
      </w:r>
      <w:r>
        <w:rPr>
          <w:w w:val="99"/>
        </w:rPr>
        <w:t xml:space="preserve"> </w:t>
      </w:r>
      <w:r>
        <w:t>可靠，委托合同中不得出现可能影响研究中立性的约定。</w:t>
      </w:r>
    </w:p>
    <w:p w14:paraId="05C1C260">
      <w:pPr>
        <w:pStyle w:val="2"/>
        <w:spacing w:before="48" w:line="357" w:lineRule="auto"/>
        <w:ind w:right="101"/>
        <w:jc w:val="left"/>
      </w:pPr>
      <w:r>
        <w:rPr>
          <w:spacing w:val="13"/>
          <w:w w:val="95"/>
        </w:rPr>
        <w:t>实验室不可将实验工作转包；如果不能完成部分工作，</w:t>
      </w:r>
      <w:r>
        <w:rPr>
          <w:w w:val="99"/>
        </w:rPr>
        <w:t xml:space="preserve"> </w:t>
      </w:r>
      <w:r>
        <w:t>应当事先由申办者与相应机构签署相关委托合同。</w:t>
      </w:r>
    </w:p>
    <w:p w14:paraId="69418C0E">
      <w:pPr>
        <w:pStyle w:val="2"/>
        <w:spacing w:line="357" w:lineRule="auto"/>
        <w:ind w:right="401"/>
        <w:jc w:val="both"/>
      </w:pPr>
      <w:r>
        <w:rPr>
          <w:spacing w:val="14"/>
        </w:rPr>
        <w:t>实验室不得擅自增加研究内容或改变研究方法。委托</w:t>
      </w:r>
      <w:r>
        <w:rPr>
          <w:spacing w:val="14"/>
          <w:w w:val="99"/>
        </w:rPr>
        <w:t xml:space="preserve"> </w:t>
      </w:r>
      <w:r>
        <w:rPr>
          <w:spacing w:val="12"/>
        </w:rPr>
        <w:t>方如要求增加新的分析检测项目，双方应当于相关工作开</w:t>
      </w:r>
      <w:r>
        <w:rPr>
          <w:w w:val="99"/>
        </w:rPr>
        <w:t xml:space="preserve"> </w:t>
      </w:r>
      <w:r>
        <w:rPr>
          <w:spacing w:val="12"/>
        </w:rPr>
        <w:t>始之前签署附加协议，并承诺额外的工作符合《药物临床</w:t>
      </w:r>
      <w:r>
        <w:rPr>
          <w:w w:val="99"/>
        </w:rPr>
        <w:t xml:space="preserve"> </w:t>
      </w:r>
      <w:r>
        <w:t>试验质量管理规范》要求且不与临床试验方案相冲突。</w:t>
      </w:r>
    </w:p>
    <w:p w14:paraId="3E421EC8">
      <w:pPr>
        <w:pStyle w:val="2"/>
        <w:spacing w:before="48" w:line="240" w:lineRule="auto"/>
        <w:ind w:left="761" w:right="101" w:firstLine="0"/>
        <w:jc w:val="left"/>
        <w:rPr>
          <w:rFonts w:ascii="宋体" w:hAnsi="宋体" w:eastAsia="宋体" w:cs="宋体"/>
        </w:rPr>
      </w:pPr>
      <w:bookmarkStart w:id="20" w:name="_bookmark20"/>
      <w:bookmarkEnd w:id="20"/>
      <w:r>
        <w:rPr>
          <w:rFonts w:ascii="宋体" w:hAnsi="宋体" w:eastAsia="宋体" w:cs="宋体"/>
        </w:rPr>
        <w:t>十、标准操作规程</w:t>
      </w:r>
    </w:p>
    <w:p w14:paraId="740F9676">
      <w:pPr>
        <w:pStyle w:val="2"/>
        <w:spacing w:before="203" w:line="357" w:lineRule="auto"/>
        <w:ind w:right="416"/>
        <w:jc w:val="both"/>
      </w:pPr>
      <w:r>
        <w:rPr>
          <w:spacing w:val="13"/>
        </w:rPr>
        <w:t>实验室应当制订与实验工作相适应的标准操作规程，</w:t>
      </w:r>
      <w:r>
        <w:rPr>
          <w:w w:val="99"/>
        </w:rPr>
        <w:t xml:space="preserve"> </w:t>
      </w:r>
      <w:r>
        <w:rPr>
          <w:spacing w:val="12"/>
        </w:rPr>
        <w:t>至少包括以下方面：标准操作规程的制定和管理；质量控</w:t>
      </w:r>
      <w:r>
        <w:rPr>
          <w:w w:val="99"/>
        </w:rPr>
        <w:t xml:space="preserve"> </w:t>
      </w:r>
      <w:r>
        <w:rPr>
          <w:spacing w:val="12"/>
        </w:rPr>
        <w:t>制和质量保证；工作人员培训与授权制度；设施、仪器设</w:t>
      </w:r>
    </w:p>
    <w:p w14:paraId="186178CF">
      <w:pPr>
        <w:spacing w:after="0" w:line="357" w:lineRule="auto"/>
        <w:jc w:val="both"/>
        <w:sectPr>
          <w:pgSz w:w="11910" w:h="16840"/>
          <w:pgMar w:top="1380" w:right="1380" w:bottom="1160" w:left="1680" w:header="0" w:footer="970" w:gutter="0"/>
          <w:cols w:space="720" w:num="1"/>
        </w:sectPr>
      </w:pPr>
    </w:p>
    <w:p w14:paraId="5161D486">
      <w:pPr>
        <w:pStyle w:val="2"/>
        <w:spacing w:before="0" w:line="357" w:lineRule="auto"/>
        <w:ind w:right="0" w:firstLine="0"/>
        <w:jc w:val="left"/>
      </w:pPr>
      <w:r>
        <w:rPr>
          <w:spacing w:val="12"/>
        </w:rPr>
        <w:t>备的安装、使用、检查、测试和校准、维护及退役；计算</w:t>
      </w:r>
      <w:r>
        <w:rPr>
          <w:spacing w:val="-158"/>
        </w:rPr>
        <w:t xml:space="preserve"> </w:t>
      </w:r>
      <w:r>
        <w:rPr>
          <w:spacing w:val="12"/>
          <w:w w:val="95"/>
        </w:rPr>
        <w:t>机化系统的安装、验证、使用、维护、变更、权限管理等；</w:t>
      </w:r>
      <w:r>
        <w:rPr>
          <w:spacing w:val="80"/>
          <w:w w:val="95"/>
        </w:rPr>
        <w:t xml:space="preserve"> </w:t>
      </w:r>
      <w:r>
        <w:rPr>
          <w:spacing w:val="12"/>
          <w:w w:val="95"/>
        </w:rPr>
        <w:t>试剂、标准物质的采购、接收、贮存、分发、使用和处理；</w:t>
      </w:r>
      <w:r>
        <w:rPr>
          <w:spacing w:val="82"/>
          <w:w w:val="95"/>
        </w:rPr>
        <w:t xml:space="preserve"> </w:t>
      </w:r>
      <w:r>
        <w:rPr>
          <w:spacing w:val="12"/>
        </w:rPr>
        <w:t>生物样品的转运、交接、保存、追踪和处理；分析方法学</w:t>
      </w:r>
      <w:r>
        <w:rPr>
          <w:w w:val="99"/>
        </w:rPr>
        <w:t xml:space="preserve"> </w:t>
      </w:r>
      <w:r>
        <w:rPr>
          <w:spacing w:val="12"/>
        </w:rPr>
        <w:t>的验证或确认；生物样品的分析测定；记录的管理；实验</w:t>
      </w:r>
      <w:r>
        <w:rPr>
          <w:w w:val="99"/>
        </w:rPr>
        <w:t xml:space="preserve"> </w:t>
      </w:r>
      <w:r>
        <w:rPr>
          <w:spacing w:val="12"/>
        </w:rPr>
        <w:t>数据和结果的分析处理、偏差分析及报告；实验室数据管</w:t>
      </w:r>
      <w:r>
        <w:rPr>
          <w:w w:val="99"/>
        </w:rPr>
        <w:t xml:space="preserve"> </w:t>
      </w:r>
      <w:r>
        <w:rPr>
          <w:spacing w:val="12"/>
        </w:rPr>
        <w:t>理程序；盲态管理程序；实验资料的归档保存；实验废物</w:t>
      </w:r>
      <w:r>
        <w:rPr>
          <w:w w:val="99"/>
        </w:rPr>
        <w:t xml:space="preserve"> </w:t>
      </w:r>
      <w:r>
        <w:t>的处理等。</w:t>
      </w:r>
    </w:p>
    <w:p w14:paraId="31AC1F34">
      <w:pPr>
        <w:pStyle w:val="2"/>
        <w:spacing w:line="357" w:lineRule="auto"/>
        <w:ind w:right="421"/>
        <w:jc w:val="both"/>
      </w:pPr>
      <w:r>
        <w:rPr>
          <w:spacing w:val="13"/>
        </w:rPr>
        <w:t>标准操作规程应当由质量保证部门审查，实验室负责</w:t>
      </w:r>
      <w:r>
        <w:rPr>
          <w:w w:val="99"/>
        </w:rPr>
        <w:t xml:space="preserve"> </w:t>
      </w:r>
      <w:r>
        <w:rPr>
          <w:spacing w:val="12"/>
        </w:rPr>
        <w:t>人批准后生效。实验室应当确保各项标准操作规程的可及</w:t>
      </w:r>
      <w:r>
        <w:rPr>
          <w:w w:val="99"/>
        </w:rPr>
        <w:t xml:space="preserve"> </w:t>
      </w:r>
      <w:r>
        <w:rPr>
          <w:spacing w:val="13"/>
          <w:w w:val="95"/>
        </w:rPr>
        <w:t>性。根据需要对标准操作规程进行修订与废止，记录相关</w:t>
      </w:r>
      <w:r>
        <w:rPr>
          <w:spacing w:val="74"/>
          <w:w w:val="95"/>
        </w:rPr>
        <w:t xml:space="preserve"> </w:t>
      </w:r>
      <w:r>
        <w:rPr>
          <w:spacing w:val="12"/>
        </w:rPr>
        <w:t>信息并及时更新版本和版本序列号。标准操作规程原件应</w:t>
      </w:r>
      <w:r>
        <w:rPr>
          <w:spacing w:val="-157"/>
        </w:rPr>
        <w:t xml:space="preserve"> </w:t>
      </w:r>
      <w:r>
        <w:rPr>
          <w:spacing w:val="12"/>
        </w:rPr>
        <w:t>当归档保存，已废止的标准操作规程复印件应当销毁或者</w:t>
      </w:r>
      <w:r>
        <w:rPr>
          <w:w w:val="99"/>
        </w:rPr>
        <w:t xml:space="preserve"> </w:t>
      </w:r>
      <w:r>
        <w:rPr>
          <w:spacing w:val="12"/>
        </w:rPr>
        <w:t>标记作废，确保所用的标准操作规程为现行有效版本。实</w:t>
      </w:r>
      <w:r>
        <w:rPr>
          <w:spacing w:val="-157"/>
        </w:rPr>
        <w:t xml:space="preserve"> </w:t>
      </w:r>
      <w:r>
        <w:rPr>
          <w:spacing w:val="12"/>
        </w:rPr>
        <w:t>验室应当记录标准操作规程的制定、修订、分发、学习培</w:t>
      </w:r>
      <w:r>
        <w:rPr>
          <w:w w:val="99"/>
        </w:rPr>
        <w:t xml:space="preserve"> </w:t>
      </w:r>
      <w:r>
        <w:t>训、归档情况和日期。</w:t>
      </w:r>
    </w:p>
    <w:p w14:paraId="069ED53F">
      <w:pPr>
        <w:pStyle w:val="2"/>
        <w:spacing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21" w:name="_bookmark21"/>
      <w:bookmarkEnd w:id="21"/>
      <w:r>
        <w:rPr>
          <w:rFonts w:ascii="宋体" w:hAnsi="宋体" w:eastAsia="宋体" w:cs="宋体"/>
        </w:rPr>
        <w:t>十一、项目实施</w:t>
      </w:r>
    </w:p>
    <w:p w14:paraId="26DF4E44">
      <w:pPr>
        <w:pStyle w:val="2"/>
        <w:spacing w:before="203" w:line="357" w:lineRule="auto"/>
        <w:ind w:right="435"/>
        <w:jc w:val="both"/>
      </w:pPr>
      <w:r>
        <w:rPr>
          <w:spacing w:val="13"/>
        </w:rPr>
        <w:t>项目实施通常包含方法学验证、样品分析、报告撰写</w:t>
      </w:r>
      <w:r>
        <w:rPr>
          <w:w w:val="99"/>
        </w:rPr>
        <w:t xml:space="preserve"> </w:t>
      </w:r>
      <w:r>
        <w:rPr>
          <w:spacing w:val="12"/>
        </w:rPr>
        <w:t>及资料归档等环节。项目应当有项目名称和唯一编号，并</w:t>
      </w:r>
      <w:r>
        <w:rPr>
          <w:w w:val="99"/>
        </w:rPr>
        <w:t xml:space="preserve"> </w:t>
      </w:r>
      <w:r>
        <w:t>在相关文件资料及实验记录中使用该项目名称和</w:t>
      </w:r>
      <w:r>
        <w:rPr>
          <w:rFonts w:ascii="Times New Roman" w:hAnsi="Times New Roman" w:eastAsia="Times New Roman" w:cs="Times New Roman"/>
        </w:rPr>
        <w:t>/</w:t>
      </w:r>
      <w:r>
        <w:t>或编号。</w:t>
      </w:r>
    </w:p>
    <w:p w14:paraId="2F8CB94C">
      <w:pPr>
        <w:pStyle w:val="2"/>
        <w:spacing w:before="7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22" w:name="_bookmark22"/>
      <w:bookmarkEnd w:id="22"/>
      <w:r>
        <w:rPr>
          <w:rFonts w:ascii="宋体" w:hAnsi="宋体" w:eastAsia="宋体" w:cs="宋体"/>
        </w:rPr>
        <w:t>（一）实验方案</w:t>
      </w:r>
    </w:p>
    <w:p w14:paraId="7FE64DA1">
      <w:pPr>
        <w:pStyle w:val="2"/>
        <w:spacing w:before="203" w:line="240" w:lineRule="auto"/>
        <w:ind w:left="761" w:right="0" w:firstLine="0"/>
        <w:jc w:val="left"/>
      </w:pPr>
      <w:r>
        <w:t>项目开始前应当制订详细清晰的实验方案。</w:t>
      </w:r>
    </w:p>
    <w:p w14:paraId="0357AB67">
      <w:pPr>
        <w:spacing w:after="0" w:line="240" w:lineRule="auto"/>
        <w:jc w:val="left"/>
        <w:sectPr>
          <w:pgSz w:w="11910" w:h="16840"/>
          <w:pgMar w:top="1380" w:right="1360" w:bottom="1160" w:left="1680" w:header="0" w:footer="970" w:gutter="0"/>
          <w:cols w:space="720" w:num="1"/>
        </w:sectPr>
      </w:pPr>
    </w:p>
    <w:p w14:paraId="3AC4E380">
      <w:pPr>
        <w:pStyle w:val="2"/>
        <w:spacing w:before="0" w:line="357" w:lineRule="auto"/>
        <w:ind w:right="101"/>
        <w:jc w:val="left"/>
      </w:pPr>
      <w:r>
        <w:rPr>
          <w:spacing w:val="14"/>
        </w:rPr>
        <w:t>实验方案的内容包括但不限于：项目名称或编号；申</w:t>
      </w:r>
      <w:r>
        <w:rPr>
          <w:spacing w:val="14"/>
          <w:w w:val="99"/>
        </w:rPr>
        <w:t xml:space="preserve"> </w:t>
      </w:r>
      <w:r>
        <w:rPr>
          <w:spacing w:val="12"/>
        </w:rPr>
        <w:t>办者名称；实验室名称、地址和联系方式；项目负责人及</w:t>
      </w:r>
      <w:r>
        <w:rPr>
          <w:w w:val="99"/>
        </w:rPr>
        <w:t xml:space="preserve"> </w:t>
      </w:r>
      <w:r>
        <w:rPr>
          <w:spacing w:val="12"/>
        </w:rPr>
        <w:t>参与项目的主要工作人员姓名及所承担的工作职责；实验</w:t>
      </w:r>
      <w:r>
        <w:rPr>
          <w:w w:val="99"/>
        </w:rPr>
        <w:t xml:space="preserve"> </w:t>
      </w:r>
      <w:r>
        <w:rPr>
          <w:spacing w:val="12"/>
        </w:rPr>
        <w:t>计划开始和结束的日期；实验目的；仪器设备、关键试剂</w:t>
      </w:r>
      <w:r>
        <w:rPr>
          <w:spacing w:val="-158"/>
        </w:rPr>
        <w:t xml:space="preserve"> </w:t>
      </w:r>
      <w:r>
        <w:rPr>
          <w:spacing w:val="12"/>
        </w:rPr>
        <w:t>材料、标准物质名称；分析方法、数据采集及处理方法；</w:t>
      </w:r>
      <w:r>
        <w:rPr>
          <w:w w:val="99"/>
        </w:rPr>
        <w:t xml:space="preserve"> </w:t>
      </w:r>
      <w:r>
        <w:rPr>
          <w:spacing w:val="12"/>
        </w:rPr>
        <w:t>质量控制及质量保证计划；方法学验证方案还应当包括验</w:t>
      </w:r>
      <w:r>
        <w:rPr>
          <w:spacing w:val="-158"/>
        </w:rPr>
        <w:t xml:space="preserve"> </w:t>
      </w:r>
      <w:r>
        <w:rPr>
          <w:spacing w:val="12"/>
        </w:rPr>
        <w:t>证内容、方法和可接受标准；生物样品分析计划还应当包</w:t>
      </w:r>
      <w:r>
        <w:rPr>
          <w:spacing w:val="-158"/>
        </w:rPr>
        <w:t xml:space="preserve"> </w:t>
      </w:r>
      <w:r>
        <w:rPr>
          <w:spacing w:val="12"/>
        </w:rPr>
        <w:t>括临床试验方案基本信息（如临床试验编号、试验设计、</w:t>
      </w:r>
      <w:r>
        <w:rPr>
          <w:w w:val="99"/>
        </w:rPr>
        <w:t xml:space="preserve"> </w:t>
      </w:r>
      <w:r>
        <w:rPr>
          <w:spacing w:val="11"/>
        </w:rPr>
        <w:t>采样时间点及数量等）、生物样品信息、分析批进样规则、</w:t>
      </w:r>
      <w:r>
        <w:rPr>
          <w:spacing w:val="-157"/>
        </w:rPr>
        <w:t xml:space="preserve"> </w:t>
      </w:r>
      <w:r>
        <w:t>分析批接受标准、重分析及已测样品再分析的原则等。</w:t>
      </w:r>
    </w:p>
    <w:p w14:paraId="36DABC83">
      <w:pPr>
        <w:pStyle w:val="2"/>
        <w:spacing w:before="48" w:line="357" w:lineRule="auto"/>
        <w:ind w:right="401"/>
        <w:jc w:val="both"/>
      </w:pPr>
      <w:r>
        <w:rPr>
          <w:spacing w:val="13"/>
        </w:rPr>
        <w:t>实验方案的制订应当符合相关法律法规及技术规范要</w:t>
      </w:r>
      <w:r>
        <w:rPr>
          <w:w w:val="99"/>
        </w:rPr>
        <w:t xml:space="preserve"> </w:t>
      </w:r>
      <w:r>
        <w:rPr>
          <w:spacing w:val="12"/>
        </w:rPr>
        <w:t>求。实验方案应当经质量保证部门审查，按照实验室质量</w:t>
      </w:r>
      <w:r>
        <w:rPr>
          <w:w w:val="99"/>
        </w:rPr>
        <w:t xml:space="preserve"> </w:t>
      </w:r>
      <w:r>
        <w:rPr>
          <w:spacing w:val="13"/>
          <w:w w:val="95"/>
        </w:rPr>
        <w:t>管理体系要求审批后生效。生物样品分析计划还应当取得</w:t>
      </w:r>
      <w:r>
        <w:rPr>
          <w:spacing w:val="72"/>
          <w:w w:val="95"/>
        </w:rPr>
        <w:t xml:space="preserve"> </w:t>
      </w:r>
      <w:r>
        <w:rPr>
          <w:spacing w:val="12"/>
        </w:rPr>
        <w:t>委托方签字同意。实验方案的内容不应与委托合同或临床</w:t>
      </w:r>
      <w:r>
        <w:rPr>
          <w:w w:val="99"/>
        </w:rPr>
        <w:t xml:space="preserve"> </w:t>
      </w:r>
      <w:r>
        <w:t>试验方案相冲突。</w:t>
      </w:r>
    </w:p>
    <w:p w14:paraId="12FC89AC">
      <w:pPr>
        <w:pStyle w:val="2"/>
        <w:spacing w:before="48" w:line="357" w:lineRule="auto"/>
        <w:ind w:right="401"/>
        <w:jc w:val="both"/>
      </w:pPr>
      <w:r>
        <w:rPr>
          <w:spacing w:val="14"/>
        </w:rPr>
        <w:t>对已批准实验方案的修改，应当书面说明修改内容及</w:t>
      </w:r>
      <w:r>
        <w:rPr>
          <w:spacing w:val="14"/>
          <w:w w:val="99"/>
        </w:rPr>
        <w:t xml:space="preserve"> </w:t>
      </w:r>
      <w:r>
        <w:rPr>
          <w:spacing w:val="12"/>
        </w:rPr>
        <w:t>原因，经质量保证部门审查、按照实验室质量管理体系要</w:t>
      </w:r>
      <w:r>
        <w:rPr>
          <w:w w:val="99"/>
        </w:rPr>
        <w:t xml:space="preserve"> </w:t>
      </w:r>
      <w:r>
        <w:rPr>
          <w:spacing w:val="13"/>
          <w:w w:val="95"/>
        </w:rPr>
        <w:t>求审批后生效；对生物样品分析计划的修改，还应当取得</w:t>
      </w:r>
      <w:r>
        <w:rPr>
          <w:spacing w:val="71"/>
          <w:w w:val="95"/>
        </w:rPr>
        <w:t xml:space="preserve"> </w:t>
      </w:r>
      <w:r>
        <w:rPr>
          <w:spacing w:val="12"/>
        </w:rPr>
        <w:t>委托方签字同意。实验方案或者修改后的实验方案应当及</w:t>
      </w:r>
      <w:r>
        <w:rPr>
          <w:w w:val="99"/>
        </w:rPr>
        <w:t xml:space="preserve"> </w:t>
      </w:r>
      <w:r>
        <w:t>时对实验相关工作人员进行培训并保留培训记录。</w:t>
      </w:r>
    </w:p>
    <w:p w14:paraId="5557A5B6">
      <w:pPr>
        <w:pStyle w:val="2"/>
        <w:spacing w:before="48" w:line="240" w:lineRule="auto"/>
        <w:ind w:left="761" w:right="101" w:firstLine="0"/>
        <w:jc w:val="left"/>
        <w:rPr>
          <w:rFonts w:ascii="宋体" w:hAnsi="宋体" w:eastAsia="宋体" w:cs="宋体"/>
        </w:rPr>
      </w:pPr>
      <w:bookmarkStart w:id="23" w:name="_bookmark23"/>
      <w:bookmarkEnd w:id="23"/>
      <w:r>
        <w:rPr>
          <w:rFonts w:ascii="宋体" w:hAnsi="宋体" w:eastAsia="宋体" w:cs="宋体"/>
        </w:rPr>
        <w:t>（二）项目实施</w:t>
      </w:r>
    </w:p>
    <w:p w14:paraId="227988E4">
      <w:pPr>
        <w:pStyle w:val="2"/>
        <w:spacing w:before="203" w:line="240" w:lineRule="auto"/>
        <w:ind w:left="761" w:right="101" w:firstLine="0"/>
        <w:jc w:val="left"/>
      </w:pPr>
      <w:r>
        <w:rPr>
          <w:spacing w:val="13"/>
        </w:rPr>
        <w:t>项目负责人应当按照已生效的实验方案组织开展分析</w:t>
      </w:r>
    </w:p>
    <w:p w14:paraId="4A282DB3">
      <w:pPr>
        <w:spacing w:after="0" w:line="240" w:lineRule="auto"/>
        <w:jc w:val="left"/>
        <w:sectPr>
          <w:pgSz w:w="11910" w:h="16840"/>
          <w:pgMar w:top="1380" w:right="1380" w:bottom="1160" w:left="1680" w:header="0" w:footer="970" w:gutter="0"/>
          <w:cols w:space="720" w:num="1"/>
        </w:sectPr>
      </w:pPr>
    </w:p>
    <w:p w14:paraId="25C38B15">
      <w:pPr>
        <w:pStyle w:val="2"/>
        <w:spacing w:before="0" w:line="357" w:lineRule="auto"/>
        <w:ind w:right="113" w:firstLine="0"/>
        <w:jc w:val="both"/>
      </w:pPr>
      <w:r>
        <w:rPr>
          <w:spacing w:val="12"/>
        </w:rPr>
        <w:t>检测工作。相关工作人员应当严格执行实验方案及相关标</w:t>
      </w:r>
      <w:r>
        <w:rPr>
          <w:spacing w:val="-158"/>
        </w:rPr>
        <w:t xml:space="preserve"> </w:t>
      </w:r>
      <w:r>
        <w:rPr>
          <w:spacing w:val="12"/>
        </w:rPr>
        <w:t>准操作规程，及时向项目负责人报告偏离方案和标准操作</w:t>
      </w:r>
      <w:r>
        <w:rPr>
          <w:w w:val="99"/>
        </w:rPr>
        <w:t xml:space="preserve"> </w:t>
      </w:r>
      <w:r>
        <w:rPr>
          <w:spacing w:val="12"/>
        </w:rPr>
        <w:t>规程的情况。项目负责人应当及时评估偏离情况对实验数</w:t>
      </w:r>
      <w:r>
        <w:rPr>
          <w:w w:val="99"/>
        </w:rPr>
        <w:t xml:space="preserve"> </w:t>
      </w:r>
      <w:r>
        <w:t>据可靠性的影响，必要时应当采取纠正、预防措施。</w:t>
      </w:r>
    </w:p>
    <w:p w14:paraId="4F4BED42">
      <w:pPr>
        <w:pStyle w:val="2"/>
        <w:spacing w:before="48" w:line="357" w:lineRule="auto"/>
        <w:ind w:right="101"/>
        <w:jc w:val="both"/>
      </w:pPr>
      <w:r>
        <w:rPr>
          <w:spacing w:val="14"/>
        </w:rPr>
        <w:t>分析检测人员应当根据具体的分析检测工作选择适宜</w:t>
      </w:r>
      <w:r>
        <w:rPr>
          <w:spacing w:val="14"/>
          <w:w w:val="99"/>
        </w:rPr>
        <w:t xml:space="preserve"> </w:t>
      </w:r>
      <w:r>
        <w:rPr>
          <w:spacing w:val="12"/>
        </w:rPr>
        <w:t>的仪器和分析方法并依据相关技术规范进行方法学验证。</w:t>
      </w:r>
      <w:r>
        <w:rPr>
          <w:w w:val="99"/>
        </w:rPr>
        <w:t xml:space="preserve"> </w:t>
      </w:r>
      <w:r>
        <w:rPr>
          <w:spacing w:val="12"/>
        </w:rPr>
        <w:t>对已验证的分析方法进行改进时，应当根据分析方法的改</w:t>
      </w:r>
      <w:r>
        <w:rPr>
          <w:w w:val="99"/>
        </w:rPr>
        <w:t xml:space="preserve"> </w:t>
      </w:r>
      <w:r>
        <w:rPr>
          <w:spacing w:val="12"/>
        </w:rPr>
        <w:t>进程度及相关标准操作规程的规定进行完整的或部分的方</w:t>
      </w:r>
      <w:r>
        <w:rPr>
          <w:w w:val="99"/>
        </w:rPr>
        <w:t xml:space="preserve"> </w:t>
      </w:r>
      <w:r>
        <w:t>法验证。</w:t>
      </w:r>
    </w:p>
    <w:p w14:paraId="46DB05B2">
      <w:pPr>
        <w:pStyle w:val="2"/>
        <w:spacing w:line="357" w:lineRule="auto"/>
        <w:ind w:right="102"/>
        <w:jc w:val="both"/>
      </w:pPr>
      <w:r>
        <w:rPr>
          <w:spacing w:val="14"/>
        </w:rPr>
        <w:t>实验室应当采取措施保证分析检测数据与生物样品的</w:t>
      </w:r>
      <w:r>
        <w:rPr>
          <w:spacing w:val="14"/>
          <w:w w:val="99"/>
        </w:rPr>
        <w:t xml:space="preserve"> </w:t>
      </w:r>
      <w:r>
        <w:rPr>
          <w:spacing w:val="12"/>
        </w:rPr>
        <w:t>准确对应关系，确保分析过程中待测生物样品编号、测试</w:t>
      </w:r>
      <w:r>
        <w:rPr>
          <w:w w:val="99"/>
        </w:rPr>
        <w:t xml:space="preserve"> </w:t>
      </w:r>
      <w:r>
        <w:rPr>
          <w:spacing w:val="12"/>
        </w:rPr>
        <w:t>样品编号、进样位置编号（如适用）、分析系统中的样品</w:t>
      </w:r>
      <w:r>
        <w:rPr>
          <w:w w:val="99"/>
        </w:rPr>
        <w:t xml:space="preserve"> </w:t>
      </w:r>
      <w:r>
        <w:rPr>
          <w:spacing w:val="12"/>
        </w:rPr>
        <w:t>编号之间的准确对应关系；关键操作环节应当进行复核。</w:t>
      </w:r>
      <w:r>
        <w:rPr>
          <w:w w:val="99"/>
        </w:rPr>
        <w:t xml:space="preserve"> </w:t>
      </w:r>
      <w:r>
        <w:rPr>
          <w:spacing w:val="12"/>
        </w:rPr>
        <w:t>应当保存结果判定相关图谱、检测结果，对于不具备溯源</w:t>
      </w:r>
      <w:r>
        <w:rPr>
          <w:w w:val="99"/>
        </w:rPr>
        <w:t xml:space="preserve"> </w:t>
      </w:r>
      <w:r>
        <w:rPr>
          <w:spacing w:val="12"/>
        </w:rPr>
        <w:t>条件的分析项目，还应当保存相关影像资料。项目实施过</w:t>
      </w:r>
      <w:r>
        <w:rPr>
          <w:spacing w:val="-158"/>
        </w:rPr>
        <w:t xml:space="preserve"> </w:t>
      </w:r>
      <w:r>
        <w:rPr>
          <w:spacing w:val="12"/>
        </w:rPr>
        <w:t>程中，实验室不得在无合理理由的情况下仅基于委托方要</w:t>
      </w:r>
      <w:r>
        <w:rPr>
          <w:spacing w:val="-157"/>
        </w:rPr>
        <w:t xml:space="preserve"> </w:t>
      </w:r>
      <w:r>
        <w:t>求对样品进行复测。</w:t>
      </w:r>
    </w:p>
    <w:p w14:paraId="27D66E02">
      <w:pPr>
        <w:pStyle w:val="2"/>
        <w:spacing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24" w:name="_bookmark24"/>
      <w:bookmarkEnd w:id="24"/>
      <w:r>
        <w:rPr>
          <w:rFonts w:ascii="宋体" w:hAnsi="宋体" w:eastAsia="宋体" w:cs="宋体"/>
        </w:rPr>
        <w:t>（三）实验报告</w:t>
      </w:r>
    </w:p>
    <w:p w14:paraId="144761ED">
      <w:pPr>
        <w:pStyle w:val="2"/>
        <w:spacing w:before="205" w:line="357" w:lineRule="auto"/>
        <w:ind w:right="115"/>
        <w:jc w:val="both"/>
      </w:pPr>
      <w:r>
        <w:rPr>
          <w:spacing w:val="13"/>
        </w:rPr>
        <w:t>项目负责人或其指定的人员应当及时撰写方法学验证</w:t>
      </w:r>
      <w:r>
        <w:rPr>
          <w:w w:val="99"/>
        </w:rPr>
        <w:t xml:space="preserve"> </w:t>
      </w:r>
      <w:r>
        <w:rPr>
          <w:spacing w:val="12"/>
        </w:rPr>
        <w:t>或生物样品分析报告，报告的格式和内容应当符合药品监</w:t>
      </w:r>
      <w:r>
        <w:rPr>
          <w:w w:val="99"/>
        </w:rPr>
        <w:t xml:space="preserve"> </w:t>
      </w:r>
      <w:r>
        <w:rPr>
          <w:spacing w:val="12"/>
        </w:rPr>
        <w:t>管部门的相关要求，由质量保证部门审查并按照实验室质</w:t>
      </w:r>
      <w:r>
        <w:rPr>
          <w:w w:val="99"/>
        </w:rPr>
        <w:t xml:space="preserve"> </w:t>
      </w:r>
      <w:r>
        <w:rPr>
          <w:spacing w:val="12"/>
        </w:rPr>
        <w:t>量管理体系要求进行审批。已批准的报告需要修改或补充</w:t>
      </w:r>
    </w:p>
    <w:p w14:paraId="137A4F76">
      <w:pPr>
        <w:spacing w:after="0" w:line="357" w:lineRule="auto"/>
        <w:jc w:val="both"/>
        <w:sectPr>
          <w:pgSz w:w="11910" w:h="16840"/>
          <w:pgMar w:top="1380" w:right="1680" w:bottom="1160" w:left="1680" w:header="0" w:footer="970" w:gutter="0"/>
          <w:cols w:space="720" w:num="1"/>
        </w:sectPr>
      </w:pPr>
    </w:p>
    <w:p w14:paraId="2C87A526">
      <w:pPr>
        <w:pStyle w:val="2"/>
        <w:spacing w:before="0" w:line="357" w:lineRule="auto"/>
        <w:ind w:right="115" w:firstLine="0"/>
        <w:jc w:val="both"/>
      </w:pPr>
      <w:r>
        <w:rPr>
          <w:spacing w:val="12"/>
        </w:rPr>
        <w:t>时，应当撰写报告修订案，详细说明修改或补充的内容、</w:t>
      </w:r>
      <w:r>
        <w:rPr>
          <w:w w:val="99"/>
        </w:rPr>
        <w:t xml:space="preserve"> </w:t>
      </w:r>
      <w:r>
        <w:rPr>
          <w:spacing w:val="12"/>
        </w:rPr>
        <w:t>理由并对其影响进行评估，经质量保证部门审查并按照实</w:t>
      </w:r>
      <w:r>
        <w:rPr>
          <w:w w:val="99"/>
        </w:rPr>
        <w:t xml:space="preserve"> </w:t>
      </w:r>
      <w:r>
        <w:t>验室质量管理体系要求审批。</w:t>
      </w:r>
    </w:p>
    <w:p w14:paraId="3FAF5CA6">
      <w:pPr>
        <w:pStyle w:val="2"/>
        <w:spacing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25" w:name="_bookmark25"/>
      <w:bookmarkEnd w:id="25"/>
      <w:r>
        <w:rPr>
          <w:rFonts w:ascii="宋体" w:hAnsi="宋体" w:eastAsia="宋体" w:cs="宋体"/>
        </w:rPr>
        <w:t>（四）归档</w:t>
      </w:r>
    </w:p>
    <w:p w14:paraId="37F1656E">
      <w:pPr>
        <w:pStyle w:val="2"/>
        <w:spacing w:before="205" w:line="357" w:lineRule="auto"/>
        <w:ind w:right="115"/>
        <w:jc w:val="both"/>
      </w:pPr>
      <w:r>
        <w:rPr>
          <w:spacing w:val="13"/>
        </w:rPr>
        <w:t>实验结束后，项目负责人应当及时将实验资料（包括</w:t>
      </w:r>
      <w:r>
        <w:rPr>
          <w:w w:val="99"/>
        </w:rPr>
        <w:t xml:space="preserve"> </w:t>
      </w:r>
      <w:r>
        <w:rPr>
          <w:spacing w:val="12"/>
        </w:rPr>
        <w:t>实验方案、方法学验证及生物样品分析检测记录、电子数</w:t>
      </w:r>
      <w:r>
        <w:rPr>
          <w:w w:val="99"/>
        </w:rPr>
        <w:t xml:space="preserve"> </w:t>
      </w:r>
      <w:r>
        <w:rPr>
          <w:spacing w:val="12"/>
        </w:rPr>
        <w:t>据、分析报告、质控记录、沟通邮件、会议纪要等）归档</w:t>
      </w:r>
      <w:r>
        <w:rPr>
          <w:spacing w:val="-158"/>
        </w:rPr>
        <w:t xml:space="preserve"> </w:t>
      </w:r>
      <w:r>
        <w:t>保存。</w:t>
      </w:r>
    </w:p>
    <w:p w14:paraId="79D3007D">
      <w:pPr>
        <w:pStyle w:val="2"/>
        <w:spacing w:line="355" w:lineRule="auto"/>
        <w:ind w:right="101"/>
        <w:jc w:val="both"/>
      </w:pPr>
      <w:r>
        <w:rPr>
          <w:spacing w:val="14"/>
        </w:rPr>
        <w:t>分析检测工作被取消或终止时，项目负责人应当书面</w:t>
      </w:r>
      <w:r>
        <w:rPr>
          <w:spacing w:val="14"/>
          <w:w w:val="99"/>
        </w:rPr>
        <w:t xml:space="preserve"> </w:t>
      </w:r>
      <w:r>
        <w:t>说明取消或终止原因并将相关实验资料归档保存。</w:t>
      </w:r>
    </w:p>
    <w:p w14:paraId="70DE375E">
      <w:pPr>
        <w:pStyle w:val="2"/>
        <w:spacing w:before="51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26" w:name="_bookmark26"/>
      <w:bookmarkEnd w:id="26"/>
      <w:r>
        <w:rPr>
          <w:rFonts w:ascii="宋体" w:hAnsi="宋体" w:eastAsia="宋体" w:cs="宋体"/>
        </w:rPr>
        <w:t>十二、实验记录和数据管理</w:t>
      </w:r>
    </w:p>
    <w:p w14:paraId="6738854D">
      <w:pPr>
        <w:pStyle w:val="2"/>
        <w:spacing w:before="203" w:line="357" w:lineRule="auto"/>
        <w:ind w:right="116"/>
        <w:jc w:val="both"/>
      </w:pPr>
      <w:r>
        <w:rPr>
          <w:spacing w:val="13"/>
        </w:rPr>
        <w:t>根据不同用途，实验记录可分为台账、日志、标识、</w:t>
      </w:r>
      <w:r>
        <w:rPr>
          <w:w w:val="99"/>
        </w:rPr>
        <w:t xml:space="preserve"> </w:t>
      </w:r>
      <w:r>
        <w:rPr>
          <w:spacing w:val="12"/>
        </w:rPr>
        <w:t>流程、报告等。实验室可根据分析检测工作的需求，采用</w:t>
      </w:r>
      <w:r>
        <w:rPr>
          <w:w w:val="99"/>
        </w:rPr>
        <w:t xml:space="preserve"> </w:t>
      </w:r>
      <w:r>
        <w:rPr>
          <w:spacing w:val="12"/>
        </w:rPr>
        <w:t>纸质、电子或混合记录形式。对于电子记录和纸质记录并</w:t>
      </w:r>
      <w:r>
        <w:rPr>
          <w:w w:val="99"/>
        </w:rPr>
        <w:t xml:space="preserve"> </w:t>
      </w:r>
      <w:r>
        <w:rPr>
          <w:spacing w:val="12"/>
        </w:rPr>
        <w:t>存的情形，应当在相应的操作规程和管理制度中明确规定</w:t>
      </w:r>
      <w:r>
        <w:rPr>
          <w:w w:val="99"/>
        </w:rPr>
        <w:t xml:space="preserve"> </w:t>
      </w:r>
      <w:r>
        <w:rPr>
          <w:spacing w:val="12"/>
        </w:rPr>
        <w:t>作为基准的记录形式。建议实验室在生物样品分析工作过</w:t>
      </w:r>
      <w:r>
        <w:rPr>
          <w:w w:val="99"/>
        </w:rPr>
        <w:t xml:space="preserve"> </w:t>
      </w:r>
      <w:r>
        <w:rPr>
          <w:spacing w:val="12"/>
        </w:rPr>
        <w:t>程中使用电子记录，确保生成的试验数据真实、准确、完</w:t>
      </w:r>
      <w:r>
        <w:rPr>
          <w:w w:val="99"/>
        </w:rPr>
        <w:t xml:space="preserve"> </w:t>
      </w:r>
      <w:r>
        <w:t>整和可追溯。</w:t>
      </w:r>
    </w:p>
    <w:p w14:paraId="71660527">
      <w:pPr>
        <w:pStyle w:val="2"/>
        <w:spacing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27" w:name="_bookmark27"/>
      <w:bookmarkEnd w:id="27"/>
      <w:r>
        <w:rPr>
          <w:rFonts w:ascii="宋体" w:hAnsi="宋体" w:eastAsia="宋体" w:cs="宋体"/>
        </w:rPr>
        <w:t>（一）纸质记录</w:t>
      </w:r>
    </w:p>
    <w:p w14:paraId="40A7FC2C">
      <w:pPr>
        <w:spacing w:before="1" w:line="240" w:lineRule="auto"/>
        <w:rPr>
          <w:rFonts w:ascii="宋体" w:hAnsi="宋体" w:eastAsia="宋体" w:cs="宋体"/>
          <w:sz w:val="23"/>
          <w:szCs w:val="23"/>
        </w:rPr>
      </w:pPr>
    </w:p>
    <w:p w14:paraId="126D9F8E">
      <w:pPr>
        <w:pStyle w:val="2"/>
        <w:spacing w:before="0" w:line="357" w:lineRule="auto"/>
        <w:ind w:right="101"/>
        <w:jc w:val="both"/>
      </w:pPr>
      <w:r>
        <w:rPr>
          <w:spacing w:val="14"/>
        </w:rPr>
        <w:t>纸质记录的管理应当符合以下要求：记录文件的设计</w:t>
      </w:r>
      <w:r>
        <w:rPr>
          <w:spacing w:val="14"/>
          <w:w w:val="99"/>
        </w:rPr>
        <w:t xml:space="preserve"> </w:t>
      </w:r>
      <w:r>
        <w:rPr>
          <w:spacing w:val="12"/>
        </w:rPr>
        <w:t>应当合理，满足实际用途；应当规定记录文件的审核与批</w:t>
      </w:r>
      <w:r>
        <w:rPr>
          <w:w w:val="99"/>
        </w:rPr>
        <w:t xml:space="preserve"> </w:t>
      </w:r>
      <w:r>
        <w:rPr>
          <w:spacing w:val="12"/>
        </w:rPr>
        <w:t>准职责，明确记录文件版本管理要求，防止无效版本的使</w:t>
      </w:r>
    </w:p>
    <w:p w14:paraId="25B53FB2">
      <w:pPr>
        <w:spacing w:after="0" w:line="357" w:lineRule="auto"/>
        <w:jc w:val="both"/>
        <w:sectPr>
          <w:pgSz w:w="11910" w:h="16840"/>
          <w:pgMar w:top="1380" w:right="1680" w:bottom="1160" w:left="1680" w:header="0" w:footer="970" w:gutter="0"/>
          <w:cols w:space="720" w:num="1"/>
        </w:sectPr>
      </w:pPr>
    </w:p>
    <w:p w14:paraId="5E865DF6">
      <w:pPr>
        <w:pStyle w:val="2"/>
        <w:spacing w:before="0" w:line="357" w:lineRule="auto"/>
        <w:ind w:right="401" w:firstLine="0"/>
        <w:jc w:val="both"/>
      </w:pPr>
      <w:r>
        <w:rPr>
          <w:spacing w:val="13"/>
          <w:w w:val="95"/>
        </w:rPr>
        <w:t>用；记录文件的印制与发放应当采用与记录重要性相适宜</w:t>
      </w:r>
      <w:r>
        <w:rPr>
          <w:spacing w:val="73"/>
          <w:w w:val="95"/>
        </w:rPr>
        <w:t xml:space="preserve"> </w:t>
      </w:r>
      <w:r>
        <w:rPr>
          <w:spacing w:val="12"/>
        </w:rPr>
        <w:t>的受控方法，防止对记录进行替换；记录的修改应当保持</w:t>
      </w:r>
      <w:r>
        <w:rPr>
          <w:w w:val="99"/>
        </w:rPr>
        <w:t xml:space="preserve"> </w:t>
      </w:r>
      <w:r>
        <w:rPr>
          <w:spacing w:val="12"/>
        </w:rPr>
        <w:t>原记录清晰可辨，并注明修改理由、修改人和修改日期；</w:t>
      </w:r>
      <w:r>
        <w:rPr>
          <w:spacing w:val="-157"/>
        </w:rPr>
        <w:t xml:space="preserve"> </w:t>
      </w:r>
      <w:r>
        <w:rPr>
          <w:spacing w:val="12"/>
        </w:rPr>
        <w:t>记录的归档时间、归档方式、存放地点及保存期限应当有</w:t>
      </w:r>
      <w:r>
        <w:rPr>
          <w:w w:val="99"/>
        </w:rPr>
        <w:t xml:space="preserve"> </w:t>
      </w:r>
      <w:r>
        <w:t>明确规定。</w:t>
      </w:r>
    </w:p>
    <w:p w14:paraId="5E399CD7">
      <w:pPr>
        <w:pStyle w:val="2"/>
        <w:spacing w:line="240" w:lineRule="auto"/>
        <w:ind w:left="761" w:right="101" w:firstLine="0"/>
        <w:jc w:val="left"/>
        <w:rPr>
          <w:rFonts w:ascii="宋体" w:hAnsi="宋体" w:eastAsia="宋体" w:cs="宋体"/>
        </w:rPr>
      </w:pPr>
      <w:bookmarkStart w:id="28" w:name="_bookmark28"/>
      <w:bookmarkEnd w:id="28"/>
      <w:r>
        <w:rPr>
          <w:rFonts w:ascii="宋体" w:hAnsi="宋体" w:eastAsia="宋体" w:cs="宋体"/>
        </w:rPr>
        <w:t>（二）电子记录</w:t>
      </w:r>
    </w:p>
    <w:p w14:paraId="3E7B475E">
      <w:pPr>
        <w:pStyle w:val="2"/>
        <w:spacing w:before="203" w:line="357" w:lineRule="auto"/>
        <w:ind w:right="101"/>
        <w:jc w:val="left"/>
      </w:pPr>
      <w:r>
        <w:rPr>
          <w:spacing w:val="13"/>
        </w:rPr>
        <w:t>电子记录应当至少实现原有纸质记录的同等功能，满</w:t>
      </w:r>
      <w:r>
        <w:rPr>
          <w:w w:val="99"/>
        </w:rPr>
        <w:t xml:space="preserve"> </w:t>
      </w:r>
      <w:r>
        <w:t>足生物样品分析检测工作管理需求。</w:t>
      </w:r>
    </w:p>
    <w:p w14:paraId="00DBFF33">
      <w:pPr>
        <w:pStyle w:val="2"/>
        <w:spacing w:line="357" w:lineRule="auto"/>
        <w:ind w:right="401"/>
        <w:jc w:val="both"/>
      </w:pPr>
      <w:r>
        <w:rPr>
          <w:spacing w:val="13"/>
        </w:rPr>
        <w:t>电子记录所使用的计算机化系统至少应当满足以下功</w:t>
      </w:r>
      <w:r>
        <w:rPr>
          <w:w w:val="99"/>
        </w:rPr>
        <w:t xml:space="preserve"> </w:t>
      </w:r>
      <w:r>
        <w:rPr>
          <w:spacing w:val="12"/>
        </w:rPr>
        <w:t>能要求：保证记录时间与系统时间的真实性、准确性和一</w:t>
      </w:r>
      <w:r>
        <w:rPr>
          <w:w w:val="99"/>
        </w:rPr>
        <w:t xml:space="preserve"> </w:t>
      </w:r>
      <w:r>
        <w:rPr>
          <w:spacing w:val="12"/>
        </w:rPr>
        <w:t>致性；能够显示电子记录的所有数据，生成的数据可读，</w:t>
      </w:r>
      <w:r>
        <w:rPr>
          <w:spacing w:val="-157"/>
        </w:rPr>
        <w:t xml:space="preserve"> </w:t>
      </w:r>
      <w:r>
        <w:rPr>
          <w:spacing w:val="13"/>
          <w:w w:val="95"/>
        </w:rPr>
        <w:t>数据修改应当保留修改痕迹、保持原有数据清晰可辨；数</w:t>
      </w:r>
      <w:r>
        <w:rPr>
          <w:spacing w:val="71"/>
          <w:w w:val="95"/>
        </w:rPr>
        <w:t xml:space="preserve"> </w:t>
      </w:r>
      <w:r>
        <w:rPr>
          <w:spacing w:val="12"/>
        </w:rPr>
        <w:t>据应当定期备份，备份与恢复流程应当经过验证，数据备</w:t>
      </w:r>
      <w:r>
        <w:rPr>
          <w:w w:val="99"/>
        </w:rPr>
        <w:t xml:space="preserve"> </w:t>
      </w:r>
      <w:r>
        <w:rPr>
          <w:spacing w:val="12"/>
        </w:rPr>
        <w:t>份与删除应当有相应记录；系统变更、升级或退役应当采</w:t>
      </w:r>
      <w:r>
        <w:rPr>
          <w:w w:val="99"/>
        </w:rPr>
        <w:t xml:space="preserve"> </w:t>
      </w:r>
      <w:r>
        <w:rPr>
          <w:spacing w:val="12"/>
        </w:rPr>
        <w:t>取适当措施保证系统中的数据在规定的保存期限内可读、</w:t>
      </w:r>
      <w:r>
        <w:rPr>
          <w:w w:val="99"/>
        </w:rPr>
        <w:t xml:space="preserve"> </w:t>
      </w:r>
      <w:r>
        <w:t>可追溯。</w:t>
      </w:r>
    </w:p>
    <w:p w14:paraId="78C89981">
      <w:pPr>
        <w:pStyle w:val="2"/>
        <w:spacing w:line="357" w:lineRule="auto"/>
        <w:ind w:right="101"/>
        <w:jc w:val="left"/>
      </w:pPr>
      <w:r>
        <w:rPr>
          <w:spacing w:val="13"/>
        </w:rPr>
        <w:t>电子记录应当进行用户登录与操作权限管理，至少包</w:t>
      </w:r>
      <w:r>
        <w:rPr>
          <w:w w:val="99"/>
        </w:rPr>
        <w:t xml:space="preserve"> </w:t>
      </w:r>
      <w:r>
        <w:rPr>
          <w:spacing w:val="12"/>
        </w:rPr>
        <w:t>括：建立操作与系统管理的不同权限，用户权限应当与承</w:t>
      </w:r>
      <w:r>
        <w:rPr>
          <w:w w:val="99"/>
        </w:rPr>
        <w:t xml:space="preserve"> </w:t>
      </w:r>
      <w:r>
        <w:rPr>
          <w:spacing w:val="12"/>
          <w:w w:val="95"/>
        </w:rPr>
        <w:t>担的职责相匹配，不得赋予普通用户系统（包括操作系统、</w:t>
      </w:r>
      <w:r>
        <w:rPr>
          <w:spacing w:val="79"/>
          <w:w w:val="95"/>
        </w:rPr>
        <w:t xml:space="preserve"> </w:t>
      </w:r>
      <w:r>
        <w:rPr>
          <w:spacing w:val="12"/>
        </w:rPr>
        <w:t>应用程序、数据库等）管理员的权限；具备用户权限设置</w:t>
      </w:r>
      <w:r>
        <w:rPr>
          <w:w w:val="99"/>
        </w:rPr>
        <w:t xml:space="preserve"> </w:t>
      </w:r>
      <w:r>
        <w:rPr>
          <w:spacing w:val="12"/>
        </w:rPr>
        <w:t>与分配功能，能够对权限修改进行跟踪与查询；确保登录</w:t>
      </w:r>
      <w:r>
        <w:rPr>
          <w:w w:val="99"/>
        </w:rPr>
        <w:t xml:space="preserve"> </w:t>
      </w:r>
      <w:r>
        <w:rPr>
          <w:spacing w:val="13"/>
        </w:rPr>
        <w:t>用户的唯一性与可追溯性，相应操作应当可追溯到人；应</w:t>
      </w:r>
    </w:p>
    <w:p w14:paraId="2A629183">
      <w:pPr>
        <w:spacing w:after="0" w:line="357" w:lineRule="auto"/>
        <w:jc w:val="left"/>
        <w:sectPr>
          <w:footerReference r:id="rId8" w:type="default"/>
          <w:pgSz w:w="11910" w:h="16840"/>
          <w:pgMar w:top="1380" w:right="1380" w:bottom="1160" w:left="1680" w:header="0" w:footer="970" w:gutter="0"/>
          <w:cols w:space="720" w:num="1"/>
        </w:sectPr>
      </w:pPr>
    </w:p>
    <w:p w14:paraId="6C11C9FC">
      <w:pPr>
        <w:pStyle w:val="2"/>
        <w:spacing w:before="0" w:line="357" w:lineRule="auto"/>
        <w:ind w:right="415" w:firstLine="0"/>
        <w:jc w:val="both"/>
      </w:pPr>
      <w:r>
        <w:rPr>
          <w:spacing w:val="12"/>
        </w:rPr>
        <w:t>当记录对系统操作的相关信息，至少包括：操作者、操作</w:t>
      </w:r>
      <w:r>
        <w:rPr>
          <w:w w:val="99"/>
        </w:rPr>
        <w:t xml:space="preserve"> </w:t>
      </w:r>
      <w:r>
        <w:rPr>
          <w:spacing w:val="12"/>
        </w:rPr>
        <w:t>时间、操作过程、操作原因等信息；数据的产生、修改、</w:t>
      </w:r>
      <w:r>
        <w:rPr>
          <w:w w:val="99"/>
        </w:rPr>
        <w:t xml:space="preserve"> </w:t>
      </w:r>
      <w:r>
        <w:rPr>
          <w:spacing w:val="12"/>
        </w:rPr>
        <w:t>删除、再处理、重新命名、转移等信息；对计算机化系统</w:t>
      </w:r>
      <w:r>
        <w:rPr>
          <w:w w:val="99"/>
        </w:rPr>
        <w:t xml:space="preserve"> </w:t>
      </w:r>
      <w:r>
        <w:t>的设置、配置、参数及时间戳的变更或修改等信息。</w:t>
      </w:r>
    </w:p>
    <w:p w14:paraId="257F8BDD">
      <w:pPr>
        <w:pStyle w:val="2"/>
        <w:spacing w:before="48" w:line="240" w:lineRule="auto"/>
        <w:ind w:left="761" w:right="101" w:firstLine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（三）数据管理</w:t>
      </w:r>
    </w:p>
    <w:p w14:paraId="514B5BB5">
      <w:pPr>
        <w:pStyle w:val="2"/>
        <w:spacing w:before="203" w:line="357" w:lineRule="auto"/>
        <w:ind w:right="101"/>
        <w:jc w:val="left"/>
      </w:pPr>
      <w:r>
        <w:rPr>
          <w:spacing w:val="13"/>
          <w:w w:val="95"/>
        </w:rPr>
        <w:t>实验室应当采取适当措施保证实验数据在采集、存储、</w:t>
      </w:r>
      <w:r>
        <w:rPr>
          <w:w w:val="99"/>
        </w:rPr>
        <w:t xml:space="preserve"> </w:t>
      </w:r>
      <w:r>
        <w:rPr>
          <w:spacing w:val="12"/>
        </w:rPr>
        <w:t>备份、传输和存档过程中的完整、安全、可靠、可追溯。</w:t>
      </w:r>
      <w:r>
        <w:rPr>
          <w:w w:val="99"/>
        </w:rPr>
        <w:t xml:space="preserve"> </w:t>
      </w:r>
      <w:r>
        <w:rPr>
          <w:spacing w:val="12"/>
        </w:rPr>
        <w:t>开展疫苗临床样品免疫原性检测实验室应当建立和维护所</w:t>
      </w:r>
      <w:r>
        <w:rPr>
          <w:w w:val="99"/>
        </w:rPr>
        <w:t xml:space="preserve"> </w:t>
      </w:r>
      <w:r>
        <w:t>有检测产品的数据库。</w:t>
      </w:r>
    </w:p>
    <w:p w14:paraId="66C5F4EE">
      <w:pPr>
        <w:pStyle w:val="2"/>
        <w:spacing w:line="357" w:lineRule="auto"/>
        <w:ind w:right="402"/>
        <w:jc w:val="both"/>
      </w:pPr>
      <w:r>
        <w:rPr>
          <w:spacing w:val="14"/>
        </w:rPr>
        <w:t>分析检测数据作为临床试验的外部数据，应当按照事</w:t>
      </w:r>
      <w:r>
        <w:rPr>
          <w:spacing w:val="14"/>
          <w:w w:val="99"/>
        </w:rPr>
        <w:t xml:space="preserve"> </w:t>
      </w:r>
      <w:r>
        <w:rPr>
          <w:spacing w:val="12"/>
        </w:rPr>
        <w:t>先约定的数据传输协议进行传输。在进行外部数据最终传</w:t>
      </w:r>
      <w:r>
        <w:rPr>
          <w:w w:val="99"/>
        </w:rPr>
        <w:t xml:space="preserve"> </w:t>
      </w:r>
      <w:r>
        <w:rPr>
          <w:spacing w:val="12"/>
        </w:rPr>
        <w:t>输或数据锁库前，质量保证人员应当对数据进行检查。对</w:t>
      </w:r>
      <w:r>
        <w:rPr>
          <w:spacing w:val="-157"/>
        </w:rPr>
        <w:t xml:space="preserve"> </w:t>
      </w:r>
      <w:r>
        <w:rPr>
          <w:spacing w:val="12"/>
        </w:rPr>
        <w:t>于生物等效性试验，实验室应当在全部生物样品检测（含</w:t>
      </w:r>
      <w:r>
        <w:rPr>
          <w:w w:val="99"/>
        </w:rPr>
        <w:t xml:space="preserve"> </w:t>
      </w:r>
      <w:r>
        <w:t>已测样品再分析）结束后进行数据传输。</w:t>
      </w:r>
    </w:p>
    <w:p w14:paraId="2FEDE3F0">
      <w:pPr>
        <w:pStyle w:val="2"/>
        <w:spacing w:line="240" w:lineRule="auto"/>
        <w:ind w:left="761" w:right="101" w:firstLine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（四）档案管理</w:t>
      </w:r>
    </w:p>
    <w:p w14:paraId="40001798">
      <w:pPr>
        <w:pStyle w:val="2"/>
        <w:spacing w:before="205" w:line="357" w:lineRule="auto"/>
        <w:ind w:right="415"/>
        <w:jc w:val="both"/>
      </w:pPr>
      <w:r>
        <w:rPr>
          <w:spacing w:val="13"/>
        </w:rPr>
        <w:t>实验室档案应当由专人管理，档案管理员不应参与分</w:t>
      </w:r>
      <w:r>
        <w:rPr>
          <w:w w:val="99"/>
        </w:rPr>
        <w:t xml:space="preserve"> </w:t>
      </w:r>
      <w:r>
        <w:rPr>
          <w:spacing w:val="12"/>
        </w:rPr>
        <w:t>析检测工作。档案管理员应当详细核对归档的实验资料，</w:t>
      </w:r>
      <w:r>
        <w:rPr>
          <w:w w:val="99"/>
        </w:rPr>
        <w:t xml:space="preserve"> </w:t>
      </w:r>
      <w:r>
        <w:rPr>
          <w:spacing w:val="12"/>
        </w:rPr>
        <w:t>确保归档资料完整、规范；对归档、查阅、借阅和归还等</w:t>
      </w:r>
      <w:r>
        <w:rPr>
          <w:w w:val="99"/>
        </w:rPr>
        <w:t xml:space="preserve"> </w:t>
      </w:r>
      <w:r>
        <w:rPr>
          <w:spacing w:val="12"/>
        </w:rPr>
        <w:t>情况及时记录；归档电子数据的访问权限应当进行受控管</w:t>
      </w:r>
      <w:r>
        <w:rPr>
          <w:w w:val="99"/>
        </w:rPr>
        <w:t xml:space="preserve"> </w:t>
      </w:r>
      <w:r>
        <w:rPr>
          <w:spacing w:val="12"/>
        </w:rPr>
        <w:t>理；应当制定归档数据的迁移和检查数据完整性及可读性</w:t>
      </w:r>
      <w:r>
        <w:rPr>
          <w:w w:val="99"/>
        </w:rPr>
        <w:t xml:space="preserve"> </w:t>
      </w:r>
      <w:r>
        <w:t>的标准操作规程。</w:t>
      </w:r>
    </w:p>
    <w:p w14:paraId="492D4B74">
      <w:pPr>
        <w:pStyle w:val="2"/>
        <w:spacing w:line="240" w:lineRule="auto"/>
        <w:ind w:left="761" w:right="101" w:firstLine="0"/>
        <w:jc w:val="left"/>
      </w:pPr>
      <w:r>
        <w:rPr>
          <w:spacing w:val="14"/>
        </w:rPr>
        <w:t>用于药品注册申请的项目，实验资料应当至少保存至</w:t>
      </w:r>
    </w:p>
    <w:p w14:paraId="04F130D4">
      <w:pPr>
        <w:spacing w:after="0" w:line="240" w:lineRule="auto"/>
        <w:jc w:val="left"/>
        <w:sectPr>
          <w:footerReference r:id="rId9" w:type="default"/>
          <w:pgSz w:w="11910" w:h="16840"/>
          <w:pgMar w:top="1380" w:right="1380" w:bottom="1160" w:left="1680" w:header="0" w:footer="970" w:gutter="0"/>
          <w:pgNumType w:start="21"/>
          <w:cols w:space="720" w:num="1"/>
        </w:sectPr>
      </w:pPr>
    </w:p>
    <w:p w14:paraId="7527B08D">
      <w:pPr>
        <w:pStyle w:val="2"/>
        <w:spacing w:before="0" w:line="357" w:lineRule="auto"/>
        <w:ind w:right="0" w:firstLine="0"/>
        <w:jc w:val="left"/>
      </w:pPr>
      <w:r>
        <w:rPr>
          <w:spacing w:val="12"/>
        </w:rPr>
        <w:t>药品上市后五年。未用于药品注册申请的项目（如终止的</w:t>
      </w:r>
      <w:r>
        <w:rPr>
          <w:w w:val="99"/>
        </w:rPr>
        <w:t xml:space="preserve"> </w:t>
      </w:r>
      <w:r>
        <w:t>研究），实验资料应当至少保存至实验结束后五年。</w:t>
      </w:r>
    </w:p>
    <w:p w14:paraId="09FBE64A">
      <w:pPr>
        <w:pStyle w:val="2"/>
        <w:spacing w:before="48" w:line="240" w:lineRule="auto"/>
        <w:ind w:left="761" w:right="0" w:firstLine="0"/>
        <w:jc w:val="left"/>
        <w:rPr>
          <w:rFonts w:ascii="宋体" w:hAnsi="宋体" w:eastAsia="宋体" w:cs="宋体"/>
        </w:rPr>
      </w:pPr>
      <w:bookmarkStart w:id="29" w:name="_bookmark29"/>
      <w:bookmarkEnd w:id="29"/>
      <w:r>
        <w:rPr>
          <w:rFonts w:ascii="宋体" w:hAnsi="宋体" w:eastAsia="宋体" w:cs="宋体"/>
        </w:rPr>
        <w:t>十三、参考文献</w:t>
      </w:r>
    </w:p>
    <w:p w14:paraId="45177B0A">
      <w:pPr>
        <w:pStyle w:val="2"/>
        <w:spacing w:before="203" w:line="338" w:lineRule="auto"/>
        <w:ind w:right="11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  <w:w w:val="95"/>
        </w:rPr>
        <w:t>1.</w:t>
      </w:r>
      <w:r>
        <w:rPr>
          <w:spacing w:val="3"/>
          <w:w w:val="95"/>
        </w:rPr>
        <w:t>国家药监局国家卫生健康委：《药物临床试验质量管</w:t>
      </w:r>
      <w:r>
        <w:rPr>
          <w:w w:val="99"/>
        </w:rPr>
        <w:t xml:space="preserve"> </w:t>
      </w:r>
      <w:r>
        <w:t>理规范》</w:t>
      </w:r>
      <w:r>
        <w:rPr>
          <w:rFonts w:ascii="Times New Roman" w:hAnsi="Times New Roman" w:eastAsia="Times New Roman" w:cs="Times New Roman"/>
        </w:rPr>
        <w:t>.2020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t>年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t>月</w:t>
      </w:r>
      <w:r>
        <w:rPr>
          <w:rFonts w:ascii="Times New Roman" w:hAnsi="Times New Roman" w:eastAsia="Times New Roman" w:cs="Times New Roman"/>
        </w:rPr>
        <w:t>.</w:t>
      </w:r>
    </w:p>
    <w:p w14:paraId="3C367A0D">
      <w:pPr>
        <w:pStyle w:val="2"/>
        <w:spacing w:before="33" w:line="336" w:lineRule="auto"/>
        <w:ind w:right="11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2.</w:t>
      </w:r>
      <w:r>
        <w:t>国</w:t>
      </w:r>
      <w:r>
        <w:rPr>
          <w:spacing w:val="-85"/>
        </w:rPr>
        <w:t xml:space="preserve"> </w:t>
      </w:r>
      <w:r>
        <w:t>家</w:t>
      </w:r>
      <w:r>
        <w:rPr>
          <w:spacing w:val="-85"/>
        </w:rPr>
        <w:t xml:space="preserve"> </w:t>
      </w:r>
      <w:r>
        <w:t>药</w:t>
      </w:r>
      <w:r>
        <w:rPr>
          <w:spacing w:val="-87"/>
        </w:rPr>
        <w:t xml:space="preserve"> </w:t>
      </w:r>
      <w:r>
        <w:t>监</w:t>
      </w:r>
      <w:r>
        <w:rPr>
          <w:spacing w:val="-85"/>
        </w:rPr>
        <w:t xml:space="preserve"> </w:t>
      </w:r>
      <w:r>
        <w:t>局</w:t>
      </w:r>
      <w:r>
        <w:rPr>
          <w:spacing w:val="-86"/>
        </w:rPr>
        <w:t xml:space="preserve"> </w:t>
      </w:r>
      <w:r>
        <w:t>：</w:t>
      </w:r>
      <w:r>
        <w:rPr>
          <w:spacing w:val="-85"/>
        </w:rPr>
        <w:t xml:space="preserve"> </w:t>
      </w:r>
      <w:r>
        <w:t>《</w:t>
      </w:r>
      <w:r>
        <w:rPr>
          <w:spacing w:val="-85"/>
        </w:rPr>
        <w:t xml:space="preserve"> </w:t>
      </w:r>
      <w:r>
        <w:t>药</w:t>
      </w:r>
      <w:r>
        <w:rPr>
          <w:spacing w:val="-87"/>
        </w:rPr>
        <w:t xml:space="preserve"> </w:t>
      </w:r>
      <w:r>
        <w:t>物</w:t>
      </w:r>
      <w:r>
        <w:rPr>
          <w:spacing w:val="-85"/>
        </w:rPr>
        <w:t xml:space="preserve"> </w:t>
      </w:r>
      <w:r>
        <w:t>非</w:t>
      </w:r>
      <w:r>
        <w:rPr>
          <w:spacing w:val="-87"/>
        </w:rPr>
        <w:t xml:space="preserve"> </w:t>
      </w:r>
      <w:r>
        <w:t>临</w:t>
      </w:r>
      <w:r>
        <w:rPr>
          <w:spacing w:val="-87"/>
        </w:rPr>
        <w:t xml:space="preserve"> </w:t>
      </w:r>
      <w:r>
        <w:t>床</w:t>
      </w:r>
      <w:r>
        <w:rPr>
          <w:spacing w:val="-85"/>
        </w:rPr>
        <w:t xml:space="preserve"> </w:t>
      </w:r>
      <w:r>
        <w:t>研</w:t>
      </w:r>
      <w:r>
        <w:rPr>
          <w:spacing w:val="-85"/>
        </w:rPr>
        <w:t xml:space="preserve"> </w:t>
      </w:r>
      <w:r>
        <w:t>究</w:t>
      </w:r>
      <w:r>
        <w:rPr>
          <w:spacing w:val="-87"/>
        </w:rPr>
        <w:t xml:space="preserve"> </w:t>
      </w:r>
      <w:r>
        <w:t>质</w:t>
      </w:r>
      <w:r>
        <w:rPr>
          <w:spacing w:val="-85"/>
        </w:rPr>
        <w:t xml:space="preserve"> </w:t>
      </w:r>
      <w:r>
        <w:t>量</w:t>
      </w:r>
      <w:r>
        <w:rPr>
          <w:spacing w:val="-87"/>
        </w:rPr>
        <w:t xml:space="preserve"> </w:t>
      </w:r>
      <w:r>
        <w:t>管</w:t>
      </w:r>
      <w:r>
        <w:rPr>
          <w:spacing w:val="-87"/>
        </w:rPr>
        <w:t xml:space="preserve"> </w:t>
      </w:r>
      <w:r>
        <w:t>理</w:t>
      </w:r>
      <w:r>
        <w:rPr>
          <w:spacing w:val="-85"/>
        </w:rPr>
        <w:t xml:space="preserve"> </w:t>
      </w:r>
      <w:r>
        <w:t>规</w:t>
      </w:r>
      <w:r>
        <w:rPr>
          <w:w w:val="99"/>
        </w:rPr>
        <w:t xml:space="preserve"> </w:t>
      </w:r>
      <w:r>
        <w:t>范》</w:t>
      </w:r>
      <w:r>
        <w:rPr>
          <w:rFonts w:ascii="Times New Roman" w:hAnsi="Times New Roman" w:eastAsia="Times New Roman" w:cs="Times New Roman"/>
        </w:rPr>
        <w:t>.2017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t>年</w:t>
      </w:r>
      <w:r>
        <w:rPr>
          <w:spacing w:val="-82"/>
        </w:rPr>
        <w:t xml:space="preserve"> </w:t>
      </w:r>
      <w:r>
        <w:rPr>
          <w:rFonts w:ascii="Times New Roman" w:hAnsi="Times New Roman" w:eastAsia="Times New Roman" w:cs="Times New Roman"/>
        </w:rPr>
        <w:t>9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t>月</w:t>
      </w:r>
      <w:r>
        <w:rPr>
          <w:rFonts w:ascii="Times New Roman" w:hAnsi="Times New Roman" w:eastAsia="Times New Roman" w:cs="Times New Roman"/>
        </w:rPr>
        <w:t>.</w:t>
      </w:r>
    </w:p>
    <w:p w14:paraId="3BC8DE44">
      <w:pPr>
        <w:pStyle w:val="2"/>
        <w:spacing w:before="40" w:line="336" w:lineRule="auto"/>
        <w:ind w:right="12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1"/>
        </w:rPr>
        <w:t>3.</w:t>
      </w:r>
      <w:r>
        <w:rPr>
          <w:spacing w:val="31"/>
        </w:rPr>
        <w:t>国家药监局</w:t>
      </w:r>
      <w:r>
        <w:rPr>
          <w:spacing w:val="-108"/>
        </w:rPr>
        <w:t xml:space="preserve"> </w:t>
      </w:r>
      <w:r>
        <w:t>：</w:t>
      </w:r>
      <w:r>
        <w:rPr>
          <w:spacing w:val="-106"/>
        </w:rPr>
        <w:t xml:space="preserve"> </w:t>
      </w:r>
      <w:r>
        <w:t>《</w:t>
      </w:r>
      <w:r>
        <w:rPr>
          <w:spacing w:val="-107"/>
        </w:rPr>
        <w:t xml:space="preserve"> </w:t>
      </w:r>
      <w:r>
        <w:t>药</w:t>
      </w:r>
      <w:r>
        <w:rPr>
          <w:spacing w:val="-107"/>
        </w:rPr>
        <w:t xml:space="preserve"> </w:t>
      </w:r>
      <w:r>
        <w:t>品</w:t>
      </w:r>
      <w:r>
        <w:rPr>
          <w:spacing w:val="-107"/>
        </w:rPr>
        <w:t xml:space="preserve"> </w:t>
      </w:r>
      <w:r>
        <w:t>记</w:t>
      </w:r>
      <w:r>
        <w:rPr>
          <w:spacing w:val="-107"/>
        </w:rPr>
        <w:t xml:space="preserve"> </w:t>
      </w:r>
      <w:r>
        <w:t>录</w:t>
      </w:r>
      <w:r>
        <w:rPr>
          <w:spacing w:val="-109"/>
        </w:rPr>
        <w:t xml:space="preserve"> </w:t>
      </w:r>
      <w:r>
        <w:t>与</w:t>
      </w:r>
      <w:r>
        <w:rPr>
          <w:spacing w:val="-107"/>
        </w:rPr>
        <w:t xml:space="preserve"> </w:t>
      </w:r>
      <w:r>
        <w:t>数</w:t>
      </w:r>
      <w:r>
        <w:rPr>
          <w:spacing w:val="-107"/>
        </w:rPr>
        <w:t xml:space="preserve"> </w:t>
      </w:r>
      <w:r>
        <w:t>据</w:t>
      </w:r>
      <w:r>
        <w:rPr>
          <w:spacing w:val="-107"/>
        </w:rPr>
        <w:t xml:space="preserve"> </w:t>
      </w:r>
      <w:r>
        <w:t>管</w:t>
      </w:r>
      <w:r>
        <w:rPr>
          <w:spacing w:val="-107"/>
        </w:rPr>
        <w:t xml:space="preserve"> </w:t>
      </w:r>
      <w:r>
        <w:t>理</w:t>
      </w:r>
      <w:r>
        <w:rPr>
          <w:spacing w:val="-107"/>
        </w:rPr>
        <w:t xml:space="preserve"> </w:t>
      </w:r>
      <w:r>
        <w:t>要</w:t>
      </w:r>
      <w:r>
        <w:rPr>
          <w:spacing w:val="-109"/>
        </w:rPr>
        <w:t xml:space="preserve"> </w:t>
      </w:r>
      <w:r>
        <w:t>求</w:t>
      </w:r>
      <w:r>
        <w:rPr>
          <w:spacing w:val="-107"/>
        </w:rPr>
        <w:t xml:space="preserve"> </w:t>
      </w:r>
      <w:r>
        <w:t>（</w:t>
      </w:r>
      <w:r>
        <w:rPr>
          <w:spacing w:val="-107"/>
        </w:rPr>
        <w:t xml:space="preserve"> </w:t>
      </w:r>
      <w:r>
        <w:t>试</w:t>
      </w:r>
      <w:r>
        <w:rPr>
          <w:w w:val="99"/>
        </w:rPr>
        <w:t xml:space="preserve"> </w:t>
      </w:r>
      <w:r>
        <w:t>行）》</w:t>
      </w:r>
      <w:r>
        <w:rPr>
          <w:rFonts w:ascii="Times New Roman" w:hAnsi="Times New Roman" w:eastAsia="Times New Roman" w:cs="Times New Roman"/>
        </w:rPr>
        <w:t>.2020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t>年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t>月</w:t>
      </w:r>
      <w:r>
        <w:rPr>
          <w:rFonts w:ascii="Times New Roman" w:hAnsi="Times New Roman" w:eastAsia="Times New Roman" w:cs="Times New Roman"/>
        </w:rPr>
        <w:t>.</w:t>
      </w:r>
    </w:p>
    <w:p w14:paraId="6712A44D">
      <w:pPr>
        <w:pStyle w:val="2"/>
        <w:spacing w:before="37" w:line="338" w:lineRule="auto"/>
        <w:ind w:right="11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  <w:w w:val="95"/>
        </w:rPr>
        <w:t>4.</w:t>
      </w:r>
      <w:r>
        <w:rPr>
          <w:spacing w:val="3"/>
          <w:w w:val="95"/>
        </w:rPr>
        <w:t>国家药监局核查中心：《药品注册核查要点与判定原</w:t>
      </w:r>
      <w:r>
        <w:rPr>
          <w:w w:val="99"/>
        </w:rPr>
        <w:t xml:space="preserve"> </w:t>
      </w:r>
      <w:r>
        <w:t>则（药物临床试验）（试行）》</w:t>
      </w:r>
      <w:r>
        <w:rPr>
          <w:rFonts w:ascii="Times New Roman" w:hAnsi="Times New Roman" w:eastAsia="Times New Roman" w:cs="Times New Roman"/>
        </w:rPr>
        <w:t>.2021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t>年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t>月</w:t>
      </w:r>
      <w:r>
        <w:rPr>
          <w:rFonts w:ascii="Times New Roman" w:hAnsi="Times New Roman" w:eastAsia="Times New Roman" w:cs="Times New Roman"/>
        </w:rPr>
        <w:t>.</w:t>
      </w:r>
    </w:p>
    <w:p w14:paraId="37C70CC0">
      <w:pPr>
        <w:pStyle w:val="2"/>
        <w:spacing w:before="33" w:line="240" w:lineRule="auto"/>
        <w:ind w:left="761" w:right="0" w:firstLine="0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5.</w:t>
      </w:r>
      <w:r>
        <w:t>世</w:t>
      </w:r>
      <w:r>
        <w:rPr>
          <w:spacing w:val="-91"/>
        </w:rPr>
        <w:t xml:space="preserve"> </w:t>
      </w:r>
      <w:r>
        <w:t>界</w:t>
      </w:r>
      <w:r>
        <w:rPr>
          <w:spacing w:val="-93"/>
        </w:rPr>
        <w:t xml:space="preserve"> </w:t>
      </w:r>
      <w:r>
        <w:t>卫</w:t>
      </w:r>
      <w:r>
        <w:rPr>
          <w:spacing w:val="-93"/>
        </w:rPr>
        <w:t xml:space="preserve"> </w:t>
      </w:r>
      <w:r>
        <w:t>生</w:t>
      </w:r>
      <w:r>
        <w:rPr>
          <w:spacing w:val="-93"/>
        </w:rPr>
        <w:t xml:space="preserve"> </w:t>
      </w:r>
      <w:r>
        <w:t>组</w:t>
      </w:r>
      <w:r>
        <w:rPr>
          <w:spacing w:val="-93"/>
        </w:rPr>
        <w:t xml:space="preserve"> </w:t>
      </w:r>
      <w:r>
        <w:t>织</w:t>
      </w:r>
      <w:r>
        <w:rPr>
          <w:spacing w:val="-88"/>
        </w:rPr>
        <w:t xml:space="preserve"> </w:t>
      </w:r>
      <w:r>
        <w:t>：</w:t>
      </w:r>
      <w:r>
        <w:rPr>
          <w:rFonts w:ascii="Times New Roman" w:hAnsi="Times New Roman" w:eastAsia="Times New Roman" w:cs="Times New Roman"/>
        </w:rPr>
        <w:t xml:space="preserve">Good 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Clinical 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Laboratory 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rFonts w:ascii="Times New Roman" w:hAnsi="Times New Roman" w:eastAsia="Times New Roman" w:cs="Times New Roman"/>
        </w:rPr>
        <w:t>Practice</w:t>
      </w:r>
    </w:p>
    <w:p w14:paraId="571A9D3E">
      <w:pPr>
        <w:pStyle w:val="2"/>
        <w:spacing w:before="181" w:line="240" w:lineRule="auto"/>
        <w:ind w:right="0" w:firstLine="0"/>
        <w:jc w:val="left"/>
        <w:rPr>
          <w:rFonts w:ascii="Times New Roman" w:hAnsi="Times New Roman" w:eastAsia="Times New Roman" w:cs="Times New Roman"/>
        </w:rPr>
      </w:pPr>
      <w:r>
        <w:t>（</w:t>
      </w:r>
      <w:r>
        <w:rPr>
          <w:rFonts w:ascii="Times New Roman" w:hAnsi="Times New Roman" w:eastAsia="Times New Roman" w:cs="Times New Roman"/>
        </w:rPr>
        <w:t>GCLP).2009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t>年</w:t>
      </w:r>
      <w:r>
        <w:rPr>
          <w:rFonts w:ascii="Times New Roman" w:hAnsi="Times New Roman" w:eastAsia="Times New Roman" w:cs="Times New Roman"/>
        </w:rPr>
        <w:t>.</w:t>
      </w:r>
    </w:p>
    <w:p w14:paraId="554F3413">
      <w:pPr>
        <w:pStyle w:val="2"/>
        <w:spacing w:before="179" w:line="336" w:lineRule="auto"/>
        <w:ind w:right="11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  <w:w w:val="95"/>
        </w:rPr>
        <w:t>6.</w:t>
      </w:r>
      <w:r>
        <w:rPr>
          <w:spacing w:val="3"/>
          <w:w w:val="95"/>
        </w:rPr>
        <w:t>中国合格评定国家认可委员会：《检测和校准实验室</w:t>
      </w:r>
      <w:r>
        <w:rPr>
          <w:w w:val="99"/>
        </w:rPr>
        <w:t xml:space="preserve"> </w:t>
      </w:r>
      <w:r>
        <w:t>能力认可准则》（</w:t>
      </w:r>
      <w:r>
        <w:rPr>
          <w:rFonts w:ascii="Times New Roman" w:hAnsi="Times New Roman" w:eastAsia="Times New Roman" w:cs="Times New Roman"/>
        </w:rPr>
        <w:t>CNAS-CL01:2018</w:t>
      </w:r>
      <w:r>
        <w:t>）</w:t>
      </w:r>
      <w:r>
        <w:rPr>
          <w:rFonts w:ascii="Times New Roman" w:hAnsi="Times New Roman" w:eastAsia="Times New Roman" w:cs="Times New Roman"/>
        </w:rPr>
        <w:t>.2018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t>年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t>月</w:t>
      </w:r>
      <w:r>
        <w:rPr>
          <w:rFonts w:ascii="Times New Roman" w:hAnsi="Times New Roman" w:eastAsia="Times New Roman" w:cs="Times New Roman"/>
        </w:rPr>
        <w:t>.</w:t>
      </w:r>
    </w:p>
    <w:p w14:paraId="7AC731BD">
      <w:pPr>
        <w:pStyle w:val="2"/>
        <w:spacing w:before="39" w:line="336" w:lineRule="auto"/>
        <w:ind w:right="113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7.</w:t>
      </w:r>
      <w:r>
        <w:rPr>
          <w:spacing w:val="3"/>
          <w:w w:val="95"/>
        </w:rPr>
        <w:t>中国合格评定国家认可委员会：《检测和校准实验室</w:t>
      </w:r>
      <w:r>
        <w:rPr>
          <w:w w:val="99"/>
        </w:rPr>
        <w:t xml:space="preserve"> </w:t>
      </w:r>
      <w:r>
        <w:rPr>
          <w:spacing w:val="12"/>
        </w:rPr>
        <w:t>能力认可准则在药物生物样本分析检测领域的应用说明》</w:t>
      </w:r>
    </w:p>
    <w:p w14:paraId="23464573">
      <w:pPr>
        <w:pStyle w:val="2"/>
        <w:spacing w:before="75" w:line="240" w:lineRule="auto"/>
        <w:ind w:right="0" w:firstLine="0"/>
        <w:jc w:val="left"/>
        <w:rPr>
          <w:rFonts w:ascii="Times New Roman" w:hAnsi="Times New Roman" w:eastAsia="Times New Roman" w:cs="Times New Roman"/>
        </w:rPr>
      </w:pPr>
      <w:r>
        <w:t>（</w:t>
      </w:r>
      <w:r>
        <w:rPr>
          <w:rFonts w:ascii="Times New Roman" w:hAnsi="Times New Roman" w:eastAsia="Times New Roman" w:cs="Times New Roman"/>
        </w:rPr>
        <w:t>CNAS-CL01-A026</w:t>
      </w:r>
      <w:r>
        <w:t>）</w:t>
      </w:r>
      <w:r>
        <w:rPr>
          <w:rFonts w:ascii="Times New Roman" w:hAnsi="Times New Roman" w:eastAsia="Times New Roman" w:cs="Times New Roman"/>
        </w:rPr>
        <w:t>.2023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t>年</w:t>
      </w:r>
      <w:r>
        <w:rPr>
          <w:spacing w:val="-8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11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t>月</w:t>
      </w:r>
      <w:r>
        <w:rPr>
          <w:rFonts w:ascii="Times New Roman" w:hAnsi="Times New Roman" w:eastAsia="Times New Roman" w:cs="Times New Roman"/>
        </w:rPr>
        <w:t>.</w:t>
      </w:r>
    </w:p>
    <w:p w14:paraId="62445B90">
      <w:pPr>
        <w:pStyle w:val="2"/>
        <w:spacing w:before="181" w:line="338" w:lineRule="auto"/>
        <w:ind w:right="113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  <w:w w:val="95"/>
        </w:rPr>
        <w:t>8.</w:t>
      </w:r>
      <w:r>
        <w:rPr>
          <w:spacing w:val="3"/>
          <w:w w:val="95"/>
        </w:rPr>
        <w:t>中国合格评定国家认可委员会：《检测和校准实验室</w:t>
      </w:r>
      <w:r>
        <w:rPr>
          <w:w w:val="99"/>
        </w:rPr>
        <w:t xml:space="preserve"> </w:t>
      </w:r>
      <w:r>
        <w:t>能</w:t>
      </w:r>
      <w:r>
        <w:rPr>
          <w:spacing w:val="-52"/>
        </w:rPr>
        <w:t xml:space="preserve"> </w:t>
      </w:r>
      <w:r>
        <w:t>力</w:t>
      </w:r>
      <w:r>
        <w:rPr>
          <w:spacing w:val="-52"/>
        </w:rPr>
        <w:t xml:space="preserve"> </w:t>
      </w:r>
      <w:r>
        <w:t>认</w:t>
      </w:r>
      <w:r>
        <w:rPr>
          <w:spacing w:val="-50"/>
        </w:rPr>
        <w:t xml:space="preserve"> </w:t>
      </w:r>
      <w:r>
        <w:t>可</w:t>
      </w:r>
      <w:r>
        <w:rPr>
          <w:spacing w:val="-52"/>
        </w:rPr>
        <w:t xml:space="preserve"> </w:t>
      </w:r>
      <w:r>
        <w:t>准</w:t>
      </w:r>
      <w:r>
        <w:rPr>
          <w:spacing w:val="-52"/>
        </w:rPr>
        <w:t xml:space="preserve"> </w:t>
      </w:r>
      <w:r>
        <w:t>则</w:t>
      </w:r>
      <w:r>
        <w:rPr>
          <w:spacing w:val="-52"/>
        </w:rPr>
        <w:t xml:space="preserve"> </w:t>
      </w:r>
      <w:r>
        <w:t>的</w:t>
      </w:r>
      <w:r>
        <w:rPr>
          <w:spacing w:val="-52"/>
        </w:rPr>
        <w:t xml:space="preserve"> </w:t>
      </w:r>
      <w:r>
        <w:t>应</w:t>
      </w:r>
      <w:r>
        <w:rPr>
          <w:spacing w:val="-50"/>
        </w:rPr>
        <w:t xml:space="preserve"> </w:t>
      </w:r>
      <w:r>
        <w:t>用</w:t>
      </w:r>
      <w:r>
        <w:rPr>
          <w:spacing w:val="-52"/>
        </w:rPr>
        <w:t xml:space="preserve"> </w:t>
      </w:r>
      <w:r>
        <w:t>要</w:t>
      </w:r>
      <w:r>
        <w:rPr>
          <w:spacing w:val="-52"/>
        </w:rPr>
        <w:t xml:space="preserve"> </w:t>
      </w:r>
      <w:r>
        <w:t>求</w:t>
      </w:r>
      <w:r>
        <w:rPr>
          <w:spacing w:val="-48"/>
        </w:rPr>
        <w:t xml:space="preserve"> </w:t>
      </w:r>
      <w:r>
        <w:t>》</w:t>
      </w:r>
      <w:r>
        <w:rPr>
          <w:spacing w:val="-50"/>
        </w:rPr>
        <w:t xml:space="preserve"> </w:t>
      </w:r>
      <w:r>
        <w:t>（</w:t>
      </w:r>
      <w:r>
        <w:rPr>
          <w:rFonts w:ascii="Times New Roman" w:hAnsi="Times New Roman" w:eastAsia="Times New Roman" w:cs="Times New Roman"/>
        </w:rPr>
        <w:t>CNAS-CL01-G001</w:t>
      </w:r>
      <w:r>
        <w:t>：</w:t>
      </w:r>
      <w:r>
        <w:rPr>
          <w:w w:val="99"/>
        </w:rPr>
        <w:t xml:space="preserve"> </w:t>
      </w:r>
      <w:r>
        <w:rPr>
          <w:rFonts w:ascii="Times New Roman" w:hAnsi="Times New Roman" w:eastAsia="Times New Roman" w:cs="Times New Roman"/>
        </w:rPr>
        <w:t>2024</w:t>
      </w:r>
      <w:r>
        <w:t>）</w:t>
      </w:r>
      <w:r>
        <w:rPr>
          <w:rFonts w:ascii="Times New Roman" w:hAnsi="Times New Roman" w:eastAsia="Times New Roman" w:cs="Times New Roman"/>
        </w:rPr>
        <w:t>.2024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t>年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t>月</w:t>
      </w:r>
      <w:r>
        <w:rPr>
          <w:rFonts w:ascii="Times New Roman" w:hAnsi="Times New Roman" w:eastAsia="Times New Roman" w:cs="Times New Roman"/>
        </w:rPr>
        <w:t>.</w:t>
      </w:r>
    </w:p>
    <w:p w14:paraId="40F6932E">
      <w:bookmarkStart w:id="30" w:name="_GoBack"/>
      <w:bookmarkEnd w:id="30"/>
    </w:p>
    <w:sectPr>
      <w:pgSz w:w="11910" w:h="16840"/>
      <w:pgMar w:top="1380" w:right="1680" w:bottom="1160" w:left="1680" w:header="0" w:footer="9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4F671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9936480</wp:posOffset>
              </wp:positionV>
              <wp:extent cx="1092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91239"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35pt;margin-top:782.4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xQ3FK2gAAAA0BAAAPAAAAAAAAAAEAIAAAACIAAABkcnMvZG93bnJldi54bWxQSwEC&#10;FAAUAAAACACHTuJAi5fsDLkBAABxAwAADgAAAAAAAAABACAAAAApAQAAZHJzL2Uyb0RvYy54bWxQ&#10;SwUGAAAAAAYABgBZAQAAV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EE91239"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0B00A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3709035</wp:posOffset>
              </wp:positionH>
              <wp:positionV relativeFrom="page">
                <wp:posOffset>9936480</wp:posOffset>
              </wp:positionV>
              <wp:extent cx="141605" cy="1397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75725"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05pt;margin-top:782.4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hYEJV2QAAAA0BAAAPAAAAAAAAAAEAIAAAACIAAABkcnMvZG93bnJldi54bWxQSwEC&#10;FAAUAAAACACHTuJAAp5JfLoBAABxAwAADgAAAAAAAAABACAAAAAoAQAAZHJzL2Uyb0RvYy54bWxQ&#10;SwUGAAAAAAYABgBZAQAAV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0975725"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1F1AA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9936480</wp:posOffset>
              </wp:positionV>
              <wp:extent cx="167005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33B19"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05pt;margin-top:782.4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jaRHHaAAAADQEAAA8AAAAAAAAAAQAgAAAAIgAAAGRycy9kb3ducmV2LnhtbFBLAQIU&#10;ABQAAAAIAIdO4kAOMRHTuAEAAHEDAAAOAAAAAAAAAAEAIAAAACkBAABkcnMvZTJvRG9jLnhtbFBL&#10;BQYAAAAABgAGAFkBAABT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7133B19"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6D205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3709035</wp:posOffset>
              </wp:positionH>
              <wp:positionV relativeFrom="page">
                <wp:posOffset>9936480</wp:posOffset>
              </wp:positionV>
              <wp:extent cx="141605" cy="1397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D90D4"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05pt;margin-top:782.4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hYEJV2QAAAA0BAAAPAAAAAAAAAAEAIAAAACIAAABkcnMvZG93bnJldi54bWxQSwEC&#10;FAAUAAAACACHTuJAJNtuuroBAABxAwAADgAAAAAAAAABACAAAAAoAQAAZHJzL2Uyb0RvYy54bWxQ&#10;SwUGAAAAAAYABgBZAQAAV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33D90D4"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AADB9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9936480</wp:posOffset>
              </wp:positionV>
              <wp:extent cx="167005" cy="1397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514F8"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05pt;margin-top:782.4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jaRHHaAAAADQEAAA8AAAAAAAAAAQAgAAAAIgAAAGRycy9kb3ducmV2LnhtbFBLAQIU&#10;ABQAAAAIAIdO4kCl1DNOuAEAAHEDAAAOAAAAAAAAAAEAIAAAACkBAABkcnMvZTJvRG9jLnhtbFBL&#10;BQYAAAAABgAGAFkBAABT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86514F8"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5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6"/>
      <w:ind w:left="120" w:firstLine="640"/>
    </w:pPr>
    <w:rPr>
      <w:rFonts w:ascii="宋体" w:hAnsi="宋体" w:eastAsia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2025-11-21T01:47:27Z</dcterms:created>
  <dc:creator>杭州泓友</dc:creator>
  <cp:lastModifiedBy>WPS_1715310677</cp:lastModifiedBy>
  <dcterms:modified xsi:type="dcterms:W3CDTF">2025-11-21T01:47:39Z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eyJoZGlkIjoiMjBkNDcwYWRmZGNjNzI3MWUwMGRkYzlhNjdmZjllYTkiLCJ1c2VySWQiOiIxNTk4Mzk4NzA0In0=</vt:lpwstr>
  </property>
  <property fmtid="{D5CDD505-2E9C-101B-9397-08002B2CF9AE}" pid="4" name="ICV">
    <vt:lpwstr>DA510187B77A4627BCDC2A534A28B5D9_12</vt:lpwstr>
  </property>
</Properties>
</file>