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B74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139159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38C832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2AAF3A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F8A354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3BF23A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69F3E0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DDE804F">
      <w:pPr>
        <w:spacing w:before="3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p w14:paraId="78B19656">
      <w:pPr>
        <w:spacing w:line="412" w:lineRule="exact"/>
        <w:ind w:left="1211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7"/>
          <w:sz w:val="20"/>
          <w:szCs w:val="20"/>
        </w:rPr>
        <w:drawing>
          <wp:inline distT="0" distB="0" distL="0" distR="0">
            <wp:extent cx="4116070" cy="261620"/>
            <wp:effectExtent l="0" t="0" r="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451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148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98C811E">
      <w:pPr>
        <w:spacing w:before="4" w:line="240" w:lineRule="auto"/>
        <w:rPr>
          <w:rFonts w:ascii="Times New Roman" w:hAnsi="Times New Roman" w:eastAsia="Times New Roman" w:cs="Times New Roman"/>
          <w:sz w:val="14"/>
          <w:szCs w:val="14"/>
        </w:rPr>
      </w:pPr>
    </w:p>
    <w:p w14:paraId="0D6EC942">
      <w:pPr>
        <w:spacing w:line="412" w:lineRule="exact"/>
        <w:ind w:left="2834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7"/>
          <w:sz w:val="20"/>
          <w:szCs w:val="20"/>
        </w:rPr>
        <w:drawing>
          <wp:inline distT="0" distB="0" distL="0" distR="0">
            <wp:extent cx="2058035" cy="261620"/>
            <wp:effectExtent l="0" t="0" r="0" b="508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416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3781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48EAE2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9EA29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95D2E6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5A83CD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6EF96E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038146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64986E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416F83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38B23E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B2A3B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AF9C4C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F4DD70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1F2392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643C5A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804B50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A66672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002EE3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E0A578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891AE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B7DD1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5A8A54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EEB01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6AFCB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CC56C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665D4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493C81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F429AD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C6E7DC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0AE232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C98E72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03C02B2">
      <w:pPr>
        <w:pStyle w:val="2"/>
        <w:spacing w:before="141" w:line="240" w:lineRule="auto"/>
        <w:ind w:left="18" w:right="11"/>
        <w:jc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国家药品监督管理局药品审评中心</w:t>
      </w:r>
    </w:p>
    <w:p w14:paraId="2C17B2B5">
      <w:pPr>
        <w:spacing w:before="10" w:line="240" w:lineRule="auto"/>
        <w:rPr>
          <w:rFonts w:ascii="宋体" w:hAnsi="宋体" w:eastAsia="宋体" w:cs="宋体"/>
          <w:sz w:val="27"/>
          <w:szCs w:val="27"/>
        </w:rPr>
      </w:pPr>
    </w:p>
    <w:p w14:paraId="107DF186">
      <w:pPr>
        <w:pStyle w:val="2"/>
        <w:spacing w:before="0" w:line="240" w:lineRule="auto"/>
        <w:ind w:left="15" w:right="11"/>
        <w:jc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2025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宋体" w:hAnsi="宋体" w:eastAsia="宋体" w:cs="宋体"/>
        </w:rPr>
        <w:t>年</w:t>
      </w:r>
      <w:r>
        <w:rPr>
          <w:rFonts w:ascii="宋体" w:hAnsi="宋体" w:eastAsia="宋体" w:cs="宋体"/>
          <w:spacing w:val="-79"/>
        </w:rPr>
        <w:t xml:space="preserve">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宋体" w:hAnsi="宋体" w:eastAsia="宋体" w:cs="宋体"/>
        </w:rPr>
        <w:t>月</w:t>
      </w:r>
    </w:p>
    <w:p w14:paraId="1A0A62AA">
      <w:pPr>
        <w:spacing w:after="0" w:line="240" w:lineRule="auto"/>
        <w:jc w:val="center"/>
        <w:rPr>
          <w:rFonts w:ascii="宋体" w:hAnsi="宋体" w:eastAsia="宋体" w:cs="宋体"/>
        </w:rPr>
        <w:sectPr>
          <w:pgSz w:w="11910" w:h="16840"/>
          <w:pgMar w:top="1580" w:right="1680" w:bottom="280" w:left="1680" w:header="720" w:footer="720" w:gutter="0"/>
          <w:cols w:space="720" w:num="1"/>
        </w:sectPr>
      </w:pPr>
    </w:p>
    <w:p w14:paraId="2EA17891">
      <w:pPr>
        <w:spacing w:before="0" w:line="449" w:lineRule="exact"/>
        <w:ind w:left="10" w:right="11" w:firstLine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目录</w:t>
      </w:r>
    </w:p>
    <w:p w14:paraId="48C0F0FD">
      <w:pPr>
        <w:pStyle w:val="2"/>
        <w:tabs>
          <w:tab w:val="right" w:leader="dot" w:pos="8300"/>
        </w:tabs>
        <w:spacing w:before="344" w:line="240" w:lineRule="auto"/>
        <w:ind w:left="0" w:right="1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宋体" w:hAnsi="宋体" w:eastAsia="宋体" w:cs="宋体"/>
        </w:rPr>
        <w:t>一、概述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</w:rPr>
        <w:fldChar w:fldCharType="end"/>
      </w:r>
    </w:p>
    <w:p w14:paraId="38A9E1CD">
      <w:pPr>
        <w:pStyle w:val="2"/>
        <w:tabs>
          <w:tab w:val="right" w:leader="dot" w:pos="8300"/>
        </w:tabs>
        <w:spacing w:line="240" w:lineRule="auto"/>
        <w:ind w:left="0" w:right="1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ascii="宋体" w:hAnsi="宋体" w:eastAsia="宋体" w:cs="宋体"/>
          <w:spacing w:val="-5"/>
        </w:rPr>
        <w:t>二、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的申请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</w:rPr>
        <w:fldChar w:fldCharType="end"/>
      </w:r>
    </w:p>
    <w:p w14:paraId="1CE6371B">
      <w:pPr>
        <w:pStyle w:val="2"/>
        <w:tabs>
          <w:tab w:val="right" w:leader="dot" w:pos="8300"/>
        </w:tabs>
        <w:spacing w:line="240" w:lineRule="auto"/>
        <w:ind w:left="0" w:right="1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ascii="宋体" w:hAnsi="宋体" w:eastAsia="宋体" w:cs="宋体"/>
          <w:spacing w:val="-5"/>
        </w:rPr>
        <w:t>三、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的资料要求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fldChar w:fldCharType="end"/>
      </w:r>
    </w:p>
    <w:p w14:paraId="1E563480">
      <w:pPr>
        <w:pStyle w:val="2"/>
        <w:tabs>
          <w:tab w:val="right" w:leader="dot" w:pos="8421"/>
        </w:tabs>
        <w:spacing w:line="240" w:lineRule="auto"/>
        <w:ind w:left="543" w:right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ascii="宋体" w:hAnsi="宋体" w:eastAsia="宋体" w:cs="宋体"/>
        </w:rPr>
        <w:t>（一）产品概述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fldChar w:fldCharType="end"/>
      </w:r>
    </w:p>
    <w:p w14:paraId="5C4A5DE5">
      <w:pPr>
        <w:pStyle w:val="2"/>
        <w:tabs>
          <w:tab w:val="right" w:leader="dot" w:pos="8421"/>
        </w:tabs>
        <w:spacing w:line="240" w:lineRule="auto"/>
        <w:ind w:left="543" w:right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ascii="宋体" w:hAnsi="宋体" w:eastAsia="宋体" w:cs="宋体"/>
        </w:rPr>
        <w:t>（二）拟定药学变更的内容和理由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fldChar w:fldCharType="end"/>
      </w:r>
    </w:p>
    <w:p w14:paraId="02A3BC46">
      <w:pPr>
        <w:pStyle w:val="2"/>
        <w:tabs>
          <w:tab w:val="right" w:leader="dot" w:pos="8421"/>
        </w:tabs>
        <w:spacing w:line="240" w:lineRule="auto"/>
        <w:ind w:left="543" w:right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rFonts w:ascii="宋体" w:hAnsi="宋体" w:eastAsia="宋体" w:cs="宋体"/>
        </w:rPr>
        <w:t>（三）支持性信息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fldChar w:fldCharType="end"/>
      </w:r>
    </w:p>
    <w:p w14:paraId="636F16C6">
      <w:pPr>
        <w:pStyle w:val="2"/>
        <w:tabs>
          <w:tab w:val="right" w:leader="dot" w:pos="8421"/>
        </w:tabs>
        <w:spacing w:line="240" w:lineRule="auto"/>
        <w:ind w:left="543" w:right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rFonts w:ascii="宋体" w:hAnsi="宋体" w:eastAsia="宋体" w:cs="宋体"/>
        </w:rPr>
        <w:t>（四）拟定变更的研究方案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</w:rPr>
        <w:fldChar w:fldCharType="end"/>
      </w:r>
    </w:p>
    <w:p w14:paraId="7B03A9A7">
      <w:pPr>
        <w:pStyle w:val="2"/>
        <w:tabs>
          <w:tab w:val="right" w:leader="dot" w:pos="8421"/>
        </w:tabs>
        <w:spacing w:line="240" w:lineRule="auto"/>
        <w:ind w:left="543" w:right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rFonts w:ascii="宋体" w:hAnsi="宋体" w:eastAsia="宋体" w:cs="宋体"/>
        </w:rPr>
        <w:t>（五）拟定的变更管理类别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</w:rPr>
        <w:fldChar w:fldCharType="end"/>
      </w:r>
    </w:p>
    <w:p w14:paraId="50CA485B">
      <w:pPr>
        <w:pStyle w:val="2"/>
        <w:tabs>
          <w:tab w:val="right" w:leader="dot" w:pos="8421"/>
        </w:tabs>
        <w:spacing w:line="240" w:lineRule="auto"/>
        <w:ind w:left="543" w:right="0"/>
        <w:jc w:val="left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rFonts w:ascii="宋体" w:hAnsi="宋体" w:eastAsia="宋体" w:cs="宋体"/>
        </w:rPr>
        <w:t>（六）其他信息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</w:rPr>
        <w:fldChar w:fldCharType="end"/>
      </w:r>
    </w:p>
    <w:p w14:paraId="2FE8FC46">
      <w:pPr>
        <w:pStyle w:val="2"/>
        <w:tabs>
          <w:tab w:val="right" w:leader="dot" w:pos="8300"/>
        </w:tabs>
        <w:spacing w:line="240" w:lineRule="auto"/>
        <w:ind w:left="0" w:right="1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rFonts w:ascii="宋体" w:hAnsi="宋体" w:eastAsia="宋体" w:cs="宋体"/>
        </w:rPr>
        <w:t>四、已批准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的修订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</w:rPr>
        <w:fldChar w:fldCharType="end"/>
      </w:r>
    </w:p>
    <w:p w14:paraId="5E86F529">
      <w:pPr>
        <w:pStyle w:val="2"/>
        <w:tabs>
          <w:tab w:val="right" w:leader="dot" w:pos="8300"/>
        </w:tabs>
        <w:spacing w:line="240" w:lineRule="auto"/>
        <w:ind w:left="0" w:right="1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rFonts w:ascii="宋体" w:hAnsi="宋体" w:eastAsia="宋体" w:cs="宋体"/>
        </w:rPr>
        <w:t>五、已批准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的实施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</w:rPr>
        <w:fldChar w:fldCharType="end"/>
      </w:r>
    </w:p>
    <w:p w14:paraId="420C1E09">
      <w:pPr>
        <w:pStyle w:val="2"/>
        <w:tabs>
          <w:tab w:val="right" w:leader="dot" w:pos="8300"/>
        </w:tabs>
        <w:spacing w:line="240" w:lineRule="auto"/>
        <w:ind w:left="0" w:right="1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rFonts w:ascii="宋体" w:hAnsi="宋体" w:eastAsia="宋体" w:cs="宋体"/>
        </w:rPr>
        <w:t>六、不适合提交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的情形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</w:rPr>
        <w:fldChar w:fldCharType="end"/>
      </w:r>
    </w:p>
    <w:p w14:paraId="4C2BEB47">
      <w:pPr>
        <w:pStyle w:val="2"/>
        <w:tabs>
          <w:tab w:val="right" w:leader="dot" w:pos="8301"/>
        </w:tabs>
        <w:spacing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rFonts w:ascii="宋体" w:hAnsi="宋体" w:eastAsia="宋体" w:cs="宋体"/>
          <w:spacing w:val="-5"/>
        </w:rPr>
        <w:t>七、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不被批准的情形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</w:rPr>
        <w:fldChar w:fldCharType="end"/>
      </w:r>
    </w:p>
    <w:p w14:paraId="5919FF69">
      <w:pPr>
        <w:pStyle w:val="2"/>
        <w:tabs>
          <w:tab w:val="right" w:leader="dot" w:pos="8301"/>
        </w:tabs>
        <w:spacing w:line="240" w:lineRule="auto"/>
        <w:ind w:left="0" w:right="0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rFonts w:ascii="宋体" w:hAnsi="宋体" w:eastAsia="宋体" w:cs="宋体"/>
          <w:spacing w:val="-5"/>
        </w:rPr>
        <w:t>八、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宋体" w:hAnsi="宋体" w:eastAsia="宋体" w:cs="宋体"/>
        </w:rPr>
        <w:t>的废止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</w:rPr>
        <w:fldChar w:fldCharType="end"/>
      </w:r>
    </w:p>
    <w:p w14:paraId="3AFE068A">
      <w:pPr>
        <w:pStyle w:val="2"/>
        <w:tabs>
          <w:tab w:val="right" w:leader="dot" w:pos="8288"/>
        </w:tabs>
        <w:spacing w:line="240" w:lineRule="auto"/>
        <w:ind w:left="0" w:right="11"/>
        <w:jc w:val="center"/>
        <w:rPr>
          <w:rFonts w:ascii="Times New Roman" w:hAnsi="Times New Roman" w:eastAsia="Times New Roman" w:cs="Times New Roman"/>
        </w:rPr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rFonts w:ascii="宋体" w:hAnsi="宋体" w:eastAsia="宋体" w:cs="宋体"/>
        </w:rPr>
        <w:t>九、参考文献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2"/>
        </w:rPr>
        <w:t>11</w:t>
      </w:r>
      <w:r>
        <w:rPr>
          <w:rFonts w:ascii="Times New Roman" w:hAnsi="Times New Roman" w:eastAsia="Times New Roman" w:cs="Times New Roman"/>
        </w:rPr>
        <w:fldChar w:fldCharType="end"/>
      </w:r>
    </w:p>
    <w:p w14:paraId="0005EF66">
      <w:pPr>
        <w:spacing w:after="0" w:line="240" w:lineRule="auto"/>
        <w:jc w:val="center"/>
        <w:rPr>
          <w:rFonts w:ascii="Times New Roman" w:hAnsi="Times New Roman" w:eastAsia="Times New Roman" w:cs="Times New Roman"/>
        </w:rPr>
        <w:sectPr>
          <w:pgSz w:w="11910" w:h="16840"/>
          <w:pgMar w:top="1460" w:right="1680" w:bottom="280" w:left="1680" w:header="720" w:footer="720" w:gutter="0"/>
          <w:cols w:space="720" w:num="1"/>
        </w:sectPr>
      </w:pPr>
    </w:p>
    <w:p w14:paraId="04D5F102">
      <w:pPr>
        <w:pStyle w:val="2"/>
        <w:spacing w:before="0" w:line="409" w:lineRule="exact"/>
        <w:ind w:left="759" w:right="0"/>
        <w:jc w:val="left"/>
        <w:rPr>
          <w:rFonts w:ascii="宋体" w:hAnsi="宋体" w:eastAsia="宋体" w:cs="宋体"/>
        </w:rPr>
      </w:pPr>
      <w:bookmarkStart w:id="0" w:name="_bookmark0"/>
      <w:bookmarkEnd w:id="0"/>
      <w:r>
        <w:rPr>
          <w:rFonts w:ascii="宋体" w:hAnsi="宋体" w:eastAsia="宋体" w:cs="宋体"/>
        </w:rPr>
        <w:t>一、概述</w:t>
      </w:r>
    </w:p>
    <w:p w14:paraId="025F154A">
      <w:pPr>
        <w:pStyle w:val="2"/>
        <w:spacing w:before="205" w:line="340" w:lineRule="auto"/>
        <w:ind w:right="104" w:firstLine="638"/>
        <w:jc w:val="both"/>
      </w:pPr>
      <w:r>
        <w:rPr>
          <w:spacing w:val="-3"/>
        </w:rPr>
        <w:t>为加强化学药品上市后变更的管理，促进产业发展，依</w:t>
      </w:r>
      <w:r>
        <w:rPr>
          <w:w w:val="100"/>
        </w:rPr>
        <w:t xml:space="preserve"> </w:t>
      </w:r>
      <w:r>
        <w:t>据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ICH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Q12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制定本指导原则。本指导原则旨在为药品上市许</w:t>
      </w:r>
      <w:r>
        <w:rPr>
          <w:spacing w:val="-156"/>
        </w:rPr>
        <w:t xml:space="preserve"> </w:t>
      </w:r>
      <w:r>
        <w:rPr>
          <w:spacing w:val="2"/>
        </w:rPr>
        <w:t>可持有人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原料药登记或生产企业（以下简称持有人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登记企</w:t>
      </w:r>
      <w:r>
        <w:rPr>
          <w:spacing w:val="-89"/>
        </w:rPr>
        <w:t xml:space="preserve"> </w:t>
      </w:r>
      <w:r>
        <w:rPr>
          <w:spacing w:val="16"/>
        </w:rPr>
        <w:t xml:space="preserve">业）通过使用批准后变更管理方案（ </w:t>
      </w:r>
      <w:r>
        <w:rPr>
          <w:rFonts w:ascii="Times New Roman" w:hAnsi="Times New Roman" w:eastAsia="Times New Roman" w:cs="Times New Roman"/>
        </w:rPr>
        <w:t>post approval change</w:t>
      </w:r>
      <w:r>
        <w:rPr>
          <w:rFonts w:ascii="Times New Roman" w:hAnsi="Times New Roman" w:eastAsia="Times New Roman" w:cs="Times New Roman"/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management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</w:rPr>
        <w:t>protocols,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PACMP</w:t>
      </w:r>
      <w:r>
        <w:rPr>
          <w:spacing w:val="-4"/>
        </w:rPr>
        <w:t>）实施化学原料药和制剂上市</w:t>
      </w:r>
      <w:r>
        <w:rPr>
          <w:spacing w:val="-156"/>
        </w:rPr>
        <w:t xml:space="preserve"> </w:t>
      </w:r>
      <w:r>
        <w:t>后药学变更提供参考。</w:t>
      </w:r>
    </w:p>
    <w:p w14:paraId="572D936E">
      <w:pPr>
        <w:pStyle w:val="2"/>
        <w:spacing w:before="71" w:line="345" w:lineRule="auto"/>
        <w:ind w:right="109" w:firstLine="638"/>
        <w:jc w:val="both"/>
      </w:pPr>
      <w:r>
        <w:rPr>
          <w:rFonts w:ascii="Times New Roman" w:hAnsi="Times New Roman" w:eastAsia="Times New Roman" w:cs="Times New Roman"/>
          <w:spacing w:val="-7"/>
        </w:rPr>
        <w:t xml:space="preserve">PACMP </w:t>
      </w:r>
      <w:r>
        <w:t xml:space="preserve">是 </w:t>
      </w:r>
      <w:r>
        <w:rPr>
          <w:rFonts w:ascii="Times New Roman" w:hAnsi="Times New Roman" w:eastAsia="Times New Roman" w:cs="Times New Roman"/>
          <w:spacing w:val="-4"/>
        </w:rPr>
        <w:t xml:space="preserve">ICH </w:t>
      </w:r>
      <w:r>
        <w:rPr>
          <w:rFonts w:ascii="Times New Roman" w:hAnsi="Times New Roman" w:eastAsia="Times New Roman" w:cs="Times New Roman"/>
        </w:rPr>
        <w:t>Q12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t>提供的一种监管工具，为实施变更</w:t>
      </w:r>
      <w:r>
        <w:rPr>
          <w:w w:val="100"/>
        </w:rPr>
        <w:t xml:space="preserve"> </w:t>
      </w:r>
      <w:r>
        <w:rPr>
          <w:spacing w:val="-3"/>
        </w:rPr>
        <w:t>需达到的要求和研究方面提供可预测性和透明度。经批准的</w:t>
      </w:r>
      <w:r>
        <w:rPr>
          <w:spacing w:val="-96"/>
        </w:rPr>
        <w:t xml:space="preserve"> </w:t>
      </w:r>
      <w:r>
        <w:rPr>
          <w:spacing w:val="-6"/>
        </w:rPr>
        <w:t>方案是持有人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登记企业与监管部门之间达成的一致意见，方</w:t>
      </w:r>
      <w:r>
        <w:rPr>
          <w:spacing w:val="-101"/>
        </w:rPr>
        <w:t xml:space="preserve"> </w:t>
      </w:r>
      <w:r>
        <w:rPr>
          <w:spacing w:val="5"/>
        </w:rPr>
        <w:t>案描述了持有人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登记企业拟在产品生命周期的商业阶段实</w:t>
      </w:r>
      <w:r>
        <w:rPr>
          <w:spacing w:val="-85"/>
        </w:rPr>
        <w:t xml:space="preserve"> </w:t>
      </w:r>
      <w:r>
        <w:rPr>
          <w:spacing w:val="-3"/>
        </w:rPr>
        <w:t>施的药学变更以及如何准备和验证该变更，包括评估拟定变</w:t>
      </w:r>
      <w:r>
        <w:rPr>
          <w:spacing w:val="-96"/>
        </w:rPr>
        <w:t xml:space="preserve"> </w:t>
      </w:r>
      <w:r>
        <w:rPr>
          <w:spacing w:val="-3"/>
        </w:rPr>
        <w:t>更的影响、拟定变更管理的类别、应符合的具体条件和可接</w:t>
      </w:r>
      <w:r>
        <w:rPr>
          <w:spacing w:val="-96"/>
        </w:rPr>
        <w:t xml:space="preserve"> </w:t>
      </w:r>
      <w:r>
        <w:rPr>
          <w:spacing w:val="-6"/>
        </w:rPr>
        <w:t>受标准等。通过该流程可以使用较低的变更管理类别和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或缩</w:t>
      </w:r>
      <w:r>
        <w:rPr>
          <w:spacing w:val="-99"/>
        </w:rPr>
        <w:t xml:space="preserve"> </w:t>
      </w:r>
      <w:r>
        <w:t>短审评周期。</w:t>
      </w:r>
    </w:p>
    <w:p w14:paraId="6631F516">
      <w:pPr>
        <w:pStyle w:val="2"/>
        <w:spacing w:before="60" w:line="357" w:lineRule="auto"/>
        <w:ind w:right="112" w:firstLine="638"/>
        <w:jc w:val="both"/>
      </w:pPr>
      <w:r>
        <w:rPr>
          <w:spacing w:val="-3"/>
        </w:rPr>
        <w:t>本指导原则适用于化学药品上市后的药学变更，仅很有</w:t>
      </w:r>
      <w:r>
        <w:rPr>
          <w:w w:val="100"/>
        </w:rPr>
        <w:t xml:space="preserve"> </w:t>
      </w:r>
      <w:r>
        <w:rPr>
          <w:spacing w:val="9"/>
        </w:rPr>
        <w:t>可能实施且可行性已经过研究的拟降低变更管理类别的方</w:t>
      </w:r>
      <w:r>
        <w:rPr>
          <w:spacing w:val="-90"/>
        </w:rPr>
        <w:t xml:space="preserve"> </w:t>
      </w:r>
      <w:r>
        <w:t>可提交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</w:rPr>
        <w:t>PACMP</w:t>
      </w:r>
      <w:r>
        <w:t>。</w:t>
      </w:r>
    </w:p>
    <w:p w14:paraId="720C8A2B">
      <w:pPr>
        <w:pStyle w:val="2"/>
        <w:spacing w:before="2" w:line="343" w:lineRule="auto"/>
        <w:ind w:right="110" w:firstLine="638"/>
        <w:jc w:val="both"/>
      </w:pPr>
      <w:r>
        <w:t xml:space="preserve">使用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-4"/>
        </w:rPr>
        <w:t>并非上市后变更的强制要求，持有人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登记</w:t>
      </w:r>
      <w:r>
        <w:rPr>
          <w:spacing w:val="-5"/>
          <w:w w:val="100"/>
        </w:rPr>
        <w:t xml:space="preserve"> </w:t>
      </w:r>
      <w:r>
        <w:rPr>
          <w:spacing w:val="9"/>
        </w:rPr>
        <w:t>企业可根据药品质量体系建设情况和对产品全生命周期管</w:t>
      </w:r>
      <w:r>
        <w:rPr>
          <w:spacing w:val="-90"/>
        </w:rPr>
        <w:t xml:space="preserve"> </w:t>
      </w:r>
      <w:r>
        <w:t xml:space="preserve">理的需求选择使用 </w:t>
      </w:r>
      <w:r>
        <w:rPr>
          <w:rFonts w:ascii="Times New Roman" w:hAnsi="Times New Roman" w:eastAsia="Times New Roman" w:cs="Times New Roman"/>
          <w:spacing w:val="-4"/>
        </w:rPr>
        <w:t>PACMP</w:t>
      </w:r>
      <w:r>
        <w:rPr>
          <w:spacing w:val="-4"/>
        </w:rPr>
        <w:t>。持有人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登记企业应建立完善的</w:t>
      </w:r>
      <w:r>
        <w:rPr>
          <w:spacing w:val="-147"/>
        </w:rPr>
        <w:t xml:space="preserve"> </w:t>
      </w:r>
      <w:r>
        <w:rPr>
          <w:spacing w:val="-3"/>
        </w:rPr>
        <w:t>质量管理体系，具有良好的质量风险管理能力，对产品及生</w:t>
      </w:r>
    </w:p>
    <w:p w14:paraId="24FADD5D">
      <w:pPr>
        <w:spacing w:after="0" w:line="343" w:lineRule="auto"/>
        <w:jc w:val="both"/>
        <w:sectPr>
          <w:footerReference r:id="rId5" w:type="default"/>
          <w:pgSz w:w="11910" w:h="16840"/>
          <w:pgMar w:top="1380" w:right="1680" w:bottom="1380" w:left="1680" w:header="0" w:footer="1185" w:gutter="0"/>
          <w:pgNumType w:start="1"/>
          <w:cols w:space="720" w:num="1"/>
        </w:sectPr>
      </w:pPr>
    </w:p>
    <w:p w14:paraId="7AB66408">
      <w:pPr>
        <w:pStyle w:val="2"/>
        <w:spacing w:before="0" w:line="345" w:lineRule="auto"/>
        <w:ind w:right="0"/>
        <w:jc w:val="left"/>
      </w:pPr>
      <w:r>
        <w:rPr>
          <w:spacing w:val="-3"/>
        </w:rPr>
        <w:t>产工艺有充分的理解，能够评估和控制拟定变更相关的风险。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PACMP </w:t>
      </w:r>
      <w:r>
        <w:t>的使用不降低拟定变更的技术要求，不应给产品的</w:t>
      </w:r>
      <w:r>
        <w:rPr>
          <w:spacing w:val="-139"/>
        </w:rPr>
        <w:t xml:space="preserve"> </w:t>
      </w:r>
      <w:r>
        <w:t>安全性、有效性和质量可控性带来任何额外的风险。</w:t>
      </w:r>
    </w:p>
    <w:p w14:paraId="11B4D19D">
      <w:pPr>
        <w:pStyle w:val="2"/>
        <w:spacing w:before="64" w:line="240" w:lineRule="auto"/>
        <w:ind w:left="759" w:right="0"/>
        <w:jc w:val="left"/>
        <w:rPr>
          <w:rFonts w:ascii="宋体" w:hAnsi="宋体" w:eastAsia="宋体" w:cs="宋体"/>
        </w:rPr>
      </w:pPr>
      <w:bookmarkStart w:id="1" w:name="_bookmark1"/>
      <w:bookmarkEnd w:id="1"/>
      <w:r>
        <w:rPr>
          <w:rFonts w:ascii="宋体" w:hAnsi="宋体" w:eastAsia="宋体" w:cs="宋体"/>
          <w:spacing w:val="-5"/>
        </w:rPr>
        <w:t>二、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宋体" w:hAnsi="宋体" w:eastAsia="宋体" w:cs="宋体"/>
        </w:rPr>
        <w:t>的申请</w:t>
      </w:r>
    </w:p>
    <w:p w14:paraId="035F18A5">
      <w:pPr>
        <w:pStyle w:val="2"/>
        <w:spacing w:line="336" w:lineRule="auto"/>
        <w:ind w:right="438" w:firstLine="638"/>
        <w:jc w:val="both"/>
      </w:pP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t>的申请流程通常包括提交方案和实施方案两个</w:t>
      </w:r>
      <w:r>
        <w:rPr>
          <w:w w:val="100"/>
        </w:rPr>
        <w:t xml:space="preserve"> </w:t>
      </w:r>
      <w:r>
        <w:t>步骤。</w:t>
      </w:r>
    </w:p>
    <w:p w14:paraId="40A6377F">
      <w:pPr>
        <w:pStyle w:val="2"/>
        <w:spacing w:before="77" w:line="338" w:lineRule="auto"/>
        <w:ind w:left="759" w:right="0"/>
        <w:jc w:val="left"/>
      </w:pPr>
      <w:r>
        <w:t>步骤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</w:rPr>
        <w:t>1.</w:t>
      </w:r>
      <w:r>
        <w:t>提交方案</w:t>
      </w:r>
      <w:r>
        <w:rPr>
          <w:spacing w:val="-157"/>
        </w:rPr>
        <w:t xml:space="preserve"> </w:t>
      </w:r>
      <w:r>
        <w:rPr>
          <w:spacing w:val="6"/>
        </w:rPr>
        <w:t>持有人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登记企业应向国家药品监管部门提交方案并获</w:t>
      </w:r>
    </w:p>
    <w:p w14:paraId="1940B392">
      <w:pPr>
        <w:pStyle w:val="2"/>
        <w:spacing w:before="35" w:line="355" w:lineRule="auto"/>
        <w:ind w:right="0"/>
        <w:jc w:val="left"/>
      </w:pPr>
      <w:r>
        <w:rPr>
          <w:spacing w:val="2"/>
        </w:rPr>
        <w:t>得批准。方案应涵盖拟定变更的内容和理由、支持性信息、</w:t>
      </w:r>
      <w:r>
        <w:rPr>
          <w:spacing w:val="-86"/>
        </w:rPr>
        <w:t xml:space="preserve"> </w:t>
      </w:r>
      <w:r>
        <w:rPr>
          <w:spacing w:val="-3"/>
        </w:rPr>
        <w:t>拟定变更的研究方案、拟定降低后的变更管理类别，及其他</w:t>
      </w:r>
      <w:r>
        <w:rPr>
          <w:spacing w:val="-96"/>
        </w:rPr>
        <w:t xml:space="preserve"> </w:t>
      </w:r>
      <w:r>
        <w:t>支持性信息等。</w:t>
      </w:r>
    </w:p>
    <w:p w14:paraId="0A564F25">
      <w:pPr>
        <w:pStyle w:val="2"/>
        <w:spacing w:before="51" w:line="336" w:lineRule="auto"/>
        <w:ind w:left="759" w:right="0"/>
        <w:jc w:val="left"/>
      </w:pPr>
      <w:r>
        <w:t>步骤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</w:rPr>
        <w:t>2.</w:t>
      </w:r>
      <w:r>
        <w:t>实施方案</w:t>
      </w:r>
      <w:r>
        <w:rPr>
          <w:spacing w:val="-157"/>
        </w:rPr>
        <w:t xml:space="preserve"> </w:t>
      </w:r>
      <w:r>
        <w:rPr>
          <w:spacing w:val="-6"/>
        </w:rPr>
        <w:t>方案批准后，持有人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登记企业应按照方案的要求开展研</w:t>
      </w:r>
    </w:p>
    <w:p w14:paraId="4F86A38F">
      <w:pPr>
        <w:pStyle w:val="2"/>
        <w:spacing w:before="39" w:line="357" w:lineRule="auto"/>
        <w:ind w:right="432"/>
        <w:jc w:val="both"/>
      </w:pPr>
      <w:r>
        <w:rPr>
          <w:spacing w:val="-3"/>
        </w:rPr>
        <w:t>究验证工作，如研究验证结果符合方案中的可接受标准，应</w:t>
      </w:r>
      <w:r>
        <w:rPr>
          <w:spacing w:val="-96"/>
        </w:rPr>
        <w:t xml:space="preserve"> </w:t>
      </w:r>
      <w:r>
        <w:rPr>
          <w:spacing w:val="-3"/>
        </w:rPr>
        <w:t>根据已批准方案中的变更管理类别，将研究结果和数据提交</w:t>
      </w:r>
      <w:r>
        <w:rPr>
          <w:spacing w:val="-96"/>
        </w:rPr>
        <w:t xml:space="preserve"> </w:t>
      </w:r>
      <w:r>
        <w:rPr>
          <w:spacing w:val="-3"/>
        </w:rPr>
        <w:t>给监管部门，供监管部门审查。如果不符合方案中的可接受</w:t>
      </w:r>
      <w:r>
        <w:rPr>
          <w:spacing w:val="-96"/>
        </w:rPr>
        <w:t xml:space="preserve"> </w:t>
      </w:r>
      <w:r>
        <w:t>标准和</w:t>
      </w:r>
      <w:r>
        <w:rPr>
          <w:rFonts w:ascii="Times New Roman" w:hAnsi="Times New Roman" w:eastAsia="Times New Roman" w:cs="Times New Roman"/>
        </w:rPr>
        <w:t>/</w:t>
      </w:r>
      <w:r>
        <w:t>或其他条件，则无法采用此方式实施变更。</w:t>
      </w:r>
    </w:p>
    <w:p w14:paraId="69E920FC">
      <w:pPr>
        <w:pStyle w:val="2"/>
        <w:spacing w:before="7" w:line="336" w:lineRule="auto"/>
        <w:ind w:right="427" w:firstLine="638"/>
        <w:jc w:val="both"/>
      </w:pP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t>可以与上市许可申请一并提交，也可以在上市</w:t>
      </w:r>
      <w:r>
        <w:rPr>
          <w:w w:val="100"/>
        </w:rPr>
        <w:t xml:space="preserve"> </w:t>
      </w:r>
      <w:r>
        <w:rPr>
          <w:spacing w:val="2"/>
        </w:rPr>
        <w:t>后以补充申请方式提交。对于采用通用技术文档（</w:t>
      </w:r>
      <w:r>
        <w:rPr>
          <w:rFonts w:ascii="Times New Roman" w:hAnsi="Times New Roman" w:eastAsia="Times New Roman" w:cs="Times New Roman"/>
          <w:spacing w:val="2"/>
        </w:rPr>
        <w:t>common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technical document, CTD</w:t>
      </w:r>
      <w:r>
        <w:t xml:space="preserve">）格式申报的产品，建议在 </w:t>
      </w:r>
      <w:r>
        <w:rPr>
          <w:rFonts w:ascii="Times New Roman" w:hAnsi="Times New Roman" w:eastAsia="Times New Roman" w:cs="Times New Roman"/>
        </w:rPr>
        <w:t>CTD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模</w:t>
      </w:r>
      <w:r>
        <w:rPr>
          <w:w w:val="100"/>
        </w:rPr>
        <w:t xml:space="preserve"> </w:t>
      </w:r>
      <w:r>
        <w:t>块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3.2.R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12"/>
        </w:rPr>
        <w:t>区域性信息中提交，并在申请表中注明，或根据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ICH</w:t>
      </w:r>
      <w:r>
        <w:rPr>
          <w:rFonts w:ascii="Times New Roman" w:hAnsi="Times New Roman" w:eastAsia="Times New Roman" w:cs="Times New Roman"/>
          <w:spacing w:val="-78"/>
        </w:rPr>
        <w:t xml:space="preserve"> </w:t>
      </w:r>
      <w:r>
        <w:rPr>
          <w:rFonts w:ascii="Times New Roman" w:hAnsi="Times New Roman" w:eastAsia="Times New Roman" w:cs="Times New Roman"/>
        </w:rPr>
        <w:t>M4Q(R2)</w:t>
      </w:r>
      <w:r>
        <w:t>的进展选择合适的模块提交。</w:t>
      </w:r>
    </w:p>
    <w:p w14:paraId="724CF20E">
      <w:pPr>
        <w:spacing w:after="0" w:line="336" w:lineRule="auto"/>
        <w:jc w:val="both"/>
        <w:sectPr>
          <w:pgSz w:w="11910" w:h="16840"/>
          <w:pgMar w:top="1380" w:right="1360" w:bottom="1380" w:left="1680" w:header="0" w:footer="1185" w:gutter="0"/>
          <w:cols w:space="720" w:num="1"/>
        </w:sectPr>
      </w:pPr>
    </w:p>
    <w:p w14:paraId="3A9F9590">
      <w:pPr>
        <w:pStyle w:val="2"/>
        <w:spacing w:before="0" w:line="348" w:lineRule="auto"/>
        <w:ind w:right="0" w:firstLine="638"/>
        <w:jc w:val="left"/>
      </w:pPr>
      <w:r>
        <w:t xml:space="preserve">一个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t>可以用于单个产品的一项或多项变更。实</w:t>
      </w:r>
      <w:r>
        <w:rPr>
          <w:w w:val="100"/>
        </w:rPr>
        <w:t xml:space="preserve"> </w:t>
      </w:r>
      <w:r>
        <w:rPr>
          <w:spacing w:val="2"/>
        </w:rPr>
        <w:t>施多项变更时，应说明多项变更的累积影响和互相关联性，</w:t>
      </w:r>
      <w:r>
        <w:rPr>
          <w:spacing w:val="-86"/>
        </w:rPr>
        <w:t xml:space="preserve"> </w:t>
      </w:r>
      <w:r>
        <w:t>以及将其纳入一个方案的合理性。</w:t>
      </w:r>
      <w:r>
        <w:rPr>
          <w:spacing w:val="-114"/>
        </w:rPr>
        <w:t xml:space="preserve"> </w:t>
      </w:r>
      <w:r>
        <w:t>一个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也可以被设</w:t>
      </w:r>
      <w:r>
        <w:rPr>
          <w:spacing w:val="-153"/>
        </w:rPr>
        <w:t xml:space="preserve"> </w:t>
      </w:r>
      <w:r>
        <w:rPr>
          <w:spacing w:val="-3"/>
        </w:rPr>
        <w:t>计为重复使用，以在一个产品的生命周期内采用相同的原则</w:t>
      </w:r>
      <w:r>
        <w:rPr>
          <w:spacing w:val="-96"/>
        </w:rPr>
        <w:t xml:space="preserve"> </w:t>
      </w:r>
      <w:r>
        <w:rPr>
          <w:spacing w:val="-3"/>
        </w:rPr>
        <w:t>进行相同类型的药学变更，每次变更实施前应进行充分的风</w:t>
      </w:r>
      <w:r>
        <w:rPr>
          <w:spacing w:val="-96"/>
        </w:rPr>
        <w:t xml:space="preserve"> </w:t>
      </w:r>
      <w:r>
        <w:rPr>
          <w:spacing w:val="-20"/>
        </w:rPr>
        <w:t>险评估。一个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t>的变更管理策略可能适用于多个产品，</w:t>
      </w:r>
      <w:r>
        <w:rPr>
          <w:spacing w:val="-158"/>
        </w:rPr>
        <w:t xml:space="preserve"> </w:t>
      </w:r>
      <w:r>
        <w:rPr>
          <w:spacing w:val="-3"/>
        </w:rPr>
        <w:t>但每个产品的复杂程度和生产工艺不同，为确保对所有产品</w:t>
      </w:r>
      <w:r>
        <w:rPr>
          <w:spacing w:val="-96"/>
        </w:rPr>
        <w:t xml:space="preserve"> </w:t>
      </w:r>
      <w:r>
        <w:t>全生命周期的监管，每个产品应分别提交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spacing w:val="-8"/>
        </w:rPr>
        <w:t>。</w:t>
      </w:r>
    </w:p>
    <w:p w14:paraId="41972409">
      <w:pPr>
        <w:pStyle w:val="2"/>
        <w:spacing w:before="21" w:line="240" w:lineRule="auto"/>
        <w:ind w:left="759" w:right="0"/>
        <w:jc w:val="left"/>
        <w:rPr>
          <w:rFonts w:ascii="宋体" w:hAnsi="宋体" w:eastAsia="宋体" w:cs="宋体"/>
        </w:rPr>
      </w:pPr>
      <w:bookmarkStart w:id="2" w:name="_bookmark2"/>
      <w:bookmarkEnd w:id="2"/>
      <w:r>
        <w:rPr>
          <w:rFonts w:ascii="宋体" w:hAnsi="宋体" w:eastAsia="宋体" w:cs="宋体"/>
          <w:spacing w:val="-5"/>
        </w:rPr>
        <w:t>三、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宋体" w:hAnsi="宋体" w:eastAsia="宋体" w:cs="宋体"/>
        </w:rPr>
        <w:t>的资料要求</w:t>
      </w:r>
    </w:p>
    <w:p w14:paraId="1462BC49">
      <w:pPr>
        <w:pStyle w:val="2"/>
        <w:spacing w:before="176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t>的资料包括但不限于以下内容：</w:t>
      </w:r>
    </w:p>
    <w:p w14:paraId="702CC579">
      <w:pPr>
        <w:pStyle w:val="2"/>
        <w:spacing w:line="240" w:lineRule="auto"/>
        <w:ind w:left="759" w:right="0"/>
        <w:jc w:val="left"/>
        <w:rPr>
          <w:rFonts w:ascii="宋体" w:hAnsi="宋体" w:eastAsia="宋体" w:cs="宋体"/>
        </w:rPr>
      </w:pPr>
      <w:bookmarkStart w:id="3" w:name="_bookmark3"/>
      <w:bookmarkEnd w:id="3"/>
      <w:r>
        <w:rPr>
          <w:rFonts w:ascii="宋体" w:hAnsi="宋体" w:eastAsia="宋体" w:cs="宋体"/>
        </w:rPr>
        <w:t>（一）产品概述</w:t>
      </w:r>
    </w:p>
    <w:p w14:paraId="4C867036">
      <w:pPr>
        <w:pStyle w:val="2"/>
        <w:spacing w:before="205" w:line="350" w:lineRule="auto"/>
        <w:ind w:right="0" w:firstLine="638"/>
        <w:jc w:val="left"/>
      </w:pPr>
      <w:r>
        <w:t>对于以补充申请方式提交的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PACMP</w:t>
      </w:r>
      <w:r>
        <w:rPr>
          <w:spacing w:val="-3"/>
        </w:rPr>
        <w:t>，应对产品进行概</w:t>
      </w:r>
      <w:r>
        <w:rPr>
          <w:w w:val="100"/>
        </w:rPr>
        <w:t xml:space="preserve"> </w:t>
      </w:r>
      <w:r>
        <w:rPr>
          <w:spacing w:val="2"/>
        </w:rPr>
        <w:t>述，包括申报品种的批准上市情况、剂型、规格、适应症、</w:t>
      </w:r>
      <w:r>
        <w:rPr>
          <w:spacing w:val="-86"/>
        </w:rPr>
        <w:t xml:space="preserve"> </w:t>
      </w:r>
      <w:r>
        <w:rPr>
          <w:spacing w:val="-3"/>
        </w:rPr>
        <w:t>用法用量、历次变更情况等以及同品种国内外上市情况、药</w:t>
      </w:r>
      <w:r>
        <w:rPr>
          <w:spacing w:val="-96"/>
        </w:rPr>
        <w:t xml:space="preserve"> </w:t>
      </w:r>
      <w:r>
        <w:t>典收载情况等。</w:t>
      </w:r>
    </w:p>
    <w:p w14:paraId="7224B683">
      <w:pPr>
        <w:pStyle w:val="2"/>
        <w:spacing w:before="54" w:line="240" w:lineRule="auto"/>
        <w:ind w:left="759" w:right="0"/>
        <w:jc w:val="left"/>
        <w:rPr>
          <w:rFonts w:ascii="宋体" w:hAnsi="宋体" w:eastAsia="宋体" w:cs="宋体"/>
        </w:rPr>
      </w:pPr>
      <w:bookmarkStart w:id="4" w:name="_bookmark4"/>
      <w:bookmarkEnd w:id="4"/>
      <w:r>
        <w:rPr>
          <w:rFonts w:ascii="宋体" w:hAnsi="宋体" w:eastAsia="宋体" w:cs="宋体"/>
        </w:rPr>
        <w:t>（二）拟定药学变更的内容和理由</w:t>
      </w:r>
    </w:p>
    <w:p w14:paraId="1EE6A001">
      <w:pPr>
        <w:pStyle w:val="2"/>
        <w:spacing w:before="205" w:line="355" w:lineRule="auto"/>
        <w:ind w:right="272" w:firstLine="638"/>
        <w:jc w:val="both"/>
      </w:pPr>
      <w:r>
        <w:rPr>
          <w:spacing w:val="-3"/>
        </w:rPr>
        <w:t>详细描述拟定变更的内容和理由，应清晰地突出（例如</w:t>
      </w:r>
      <w:r>
        <w:rPr>
          <w:w w:val="100"/>
        </w:rPr>
        <w:t xml:space="preserve"> </w:t>
      </w:r>
      <w:r>
        <w:rPr>
          <w:spacing w:val="-3"/>
        </w:rPr>
        <w:t>以表格形式）变更前后的差异，应说明该变更有明确的未来</w:t>
      </w:r>
      <w:r>
        <w:rPr>
          <w:spacing w:val="-96"/>
        </w:rPr>
        <w:t xml:space="preserve"> </w:t>
      </w:r>
      <w:r>
        <w:t>需求，提供实施变更的时间表。</w:t>
      </w:r>
    </w:p>
    <w:p w14:paraId="672267D8">
      <w:pPr>
        <w:pStyle w:val="2"/>
        <w:spacing w:before="51" w:line="240" w:lineRule="auto"/>
        <w:ind w:left="759" w:right="0"/>
        <w:jc w:val="left"/>
        <w:rPr>
          <w:rFonts w:ascii="宋体" w:hAnsi="宋体" w:eastAsia="宋体" w:cs="宋体"/>
        </w:rPr>
      </w:pPr>
      <w:bookmarkStart w:id="5" w:name="_bookmark5"/>
      <w:bookmarkEnd w:id="5"/>
      <w:r>
        <w:rPr>
          <w:rFonts w:ascii="宋体" w:hAnsi="宋体" w:eastAsia="宋体" w:cs="宋体"/>
        </w:rPr>
        <w:t>（三）支持性信息</w:t>
      </w:r>
    </w:p>
    <w:p w14:paraId="5403D753">
      <w:pPr>
        <w:pStyle w:val="2"/>
        <w:spacing w:before="206" w:line="336" w:lineRule="auto"/>
        <w:ind w:right="0" w:firstLine="638"/>
        <w:jc w:val="left"/>
      </w:pPr>
      <w:r>
        <w:rPr>
          <w:spacing w:val="-6"/>
        </w:rPr>
        <w:t>应提供充分的支持性信息，以证明持有人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登记企业基于</w:t>
      </w:r>
      <w:r>
        <w:rPr>
          <w:w w:val="100"/>
        </w:rPr>
        <w:t xml:space="preserve"> </w:t>
      </w:r>
      <w:r>
        <w:rPr>
          <w:spacing w:val="-8"/>
        </w:rPr>
        <w:t>产品、生产工艺、风险和控制策略对拟定变更有全面的理解。</w:t>
      </w:r>
    </w:p>
    <w:p w14:paraId="25ACF40D">
      <w:pPr>
        <w:spacing w:after="0" w:line="336" w:lineRule="auto"/>
        <w:jc w:val="left"/>
        <w:sectPr>
          <w:pgSz w:w="11910" w:h="16840"/>
          <w:pgMar w:top="1380" w:right="1520" w:bottom="1380" w:left="1680" w:header="0" w:footer="1185" w:gutter="0"/>
          <w:cols w:space="720" w:num="1"/>
        </w:sectPr>
      </w:pPr>
    </w:p>
    <w:p w14:paraId="0BE2D3EE">
      <w:pPr>
        <w:pStyle w:val="2"/>
        <w:spacing w:before="0" w:line="409" w:lineRule="exact"/>
        <w:ind w:left="759" w:right="0"/>
        <w:jc w:val="left"/>
      </w:pPr>
      <w:r>
        <w:rPr>
          <w:spacing w:val="-11"/>
        </w:rPr>
        <w:t>支持性信息包括以下内容（如适用）：</w:t>
      </w:r>
    </w:p>
    <w:p w14:paraId="7B0C9908">
      <w:pPr>
        <w:pStyle w:val="2"/>
        <w:spacing w:before="205" w:line="336" w:lineRule="auto"/>
        <w:ind w:right="429" w:firstLine="638"/>
        <w:jc w:val="both"/>
      </w:pPr>
      <w:r>
        <w:rPr>
          <w:spacing w:val="-20"/>
        </w:rPr>
        <w:t>（</w:t>
      </w:r>
      <w:r>
        <w:rPr>
          <w:rFonts w:ascii="Times New Roman" w:hAnsi="Times New Roman" w:eastAsia="Times New Roman" w:cs="Times New Roman"/>
          <w:spacing w:val="-20"/>
        </w:rPr>
        <w:t>1</w:t>
      </w:r>
      <w:r>
        <w:rPr>
          <w:spacing w:val="-20"/>
        </w:rPr>
        <w:t>）说明建立了有效的药品质量体系（</w:t>
      </w:r>
      <w:r>
        <w:rPr>
          <w:rFonts w:ascii="Times New Roman" w:hAnsi="Times New Roman" w:eastAsia="Times New Roman" w:cs="Times New Roman"/>
          <w:spacing w:val="-20"/>
        </w:rPr>
        <w:t>PQS</w:t>
      </w:r>
      <w:r>
        <w:rPr>
          <w:spacing w:val="-20"/>
        </w:rPr>
        <w:t xml:space="preserve">，如 </w:t>
      </w:r>
      <w:r>
        <w:rPr>
          <w:rFonts w:ascii="Times New Roman" w:hAnsi="Times New Roman" w:eastAsia="Times New Roman" w:cs="Times New Roman"/>
          <w:spacing w:val="-4"/>
        </w:rPr>
        <w:t>ICH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>Q10</w:t>
      </w:r>
      <w:r>
        <w:rPr>
          <w:rFonts w:ascii="Times New Roman" w:hAnsi="Times New Roman" w:eastAsia="Times New Roman" w:cs="Times New Roman"/>
          <w:w w:val="100"/>
        </w:rPr>
        <w:t xml:space="preserve"> </w:t>
      </w:r>
      <w:r>
        <w:rPr>
          <w:spacing w:val="-14"/>
        </w:rPr>
        <w:t>所述），以支持使用变更管理工具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PACMP</w:t>
      </w:r>
      <w:r>
        <w:rPr>
          <w:spacing w:val="-6"/>
        </w:rPr>
        <w:t>，提供相关的证明</w:t>
      </w:r>
      <w:r>
        <w:rPr>
          <w:spacing w:val="-150"/>
        </w:rPr>
        <w:t xml:space="preserve"> </w:t>
      </w:r>
      <w:r>
        <w:rPr>
          <w:spacing w:val="-12"/>
        </w:rPr>
        <w:t>性材料（如按照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ICH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Q8</w:t>
      </w:r>
      <w:r>
        <w:rPr>
          <w:spacing w:val="-19"/>
        </w:rPr>
        <w:t>、</w:t>
      </w:r>
      <w:r>
        <w:rPr>
          <w:rFonts w:ascii="Times New Roman" w:hAnsi="Times New Roman" w:eastAsia="Times New Roman" w:cs="Times New Roman"/>
          <w:spacing w:val="-19"/>
        </w:rPr>
        <w:t>Q9</w:t>
      </w:r>
      <w:r>
        <w:rPr>
          <w:spacing w:val="-19"/>
        </w:rPr>
        <w:t>、</w:t>
      </w:r>
      <w:r>
        <w:rPr>
          <w:rFonts w:ascii="Times New Roman" w:hAnsi="Times New Roman" w:eastAsia="Times New Roman" w:cs="Times New Roman"/>
          <w:spacing w:val="-19"/>
        </w:rPr>
        <w:t>Q10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t>问答证明有效实施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PQS</w:t>
      </w:r>
      <w:r>
        <w:rPr>
          <w:spacing w:val="-3"/>
        </w:rPr>
        <w:t>、</w:t>
      </w:r>
      <w:r>
        <w:rPr>
          <w:spacing w:val="-158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8"/>
        </w:rPr>
        <w:t>符合性情况、近三年的检查抽检的严重缺陷、主要缺陷</w:t>
      </w:r>
      <w:r>
        <w:rPr>
          <w:spacing w:val="-153"/>
        </w:rPr>
        <w:t xml:space="preserve"> </w:t>
      </w:r>
      <w:r>
        <w:rPr>
          <w:spacing w:val="-16"/>
        </w:rPr>
        <w:t>及检验不合格情况等）。</w:t>
      </w:r>
    </w:p>
    <w:p w14:paraId="5BFA2FE9">
      <w:pPr>
        <w:pStyle w:val="2"/>
        <w:spacing w:before="77" w:line="352" w:lineRule="auto"/>
        <w:ind w:right="0" w:firstLine="638"/>
        <w:jc w:val="left"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9"/>
        </w:rPr>
        <w:t>）对拟定变更进行风险评估。风险评估应识别拟定变</w:t>
      </w:r>
      <w:r>
        <w:rPr>
          <w:w w:val="100"/>
        </w:rPr>
        <w:t xml:space="preserve"> </w:t>
      </w:r>
      <w:r>
        <w:rPr>
          <w:spacing w:val="-3"/>
        </w:rPr>
        <w:t>更对产品质量的潜在影响，同时应包括如何管控这些风险的</w:t>
      </w:r>
      <w:r>
        <w:rPr>
          <w:spacing w:val="-96"/>
        </w:rPr>
        <w:t xml:space="preserve"> </w:t>
      </w:r>
      <w:r>
        <w:rPr>
          <w:spacing w:val="-3"/>
        </w:rPr>
        <w:t>详细策略。风险评估的范围应与拟定变更的风险级别相适应，</w:t>
      </w:r>
      <w:r>
        <w:rPr>
          <w:spacing w:val="-91"/>
        </w:rPr>
        <w:t xml:space="preserve"> </w:t>
      </w:r>
      <w:r>
        <w:rPr>
          <w:spacing w:val="-3"/>
        </w:rPr>
        <w:t>如拟定同时实施多项变更，或者将在产品生命周期内重复实</w:t>
      </w:r>
      <w:r>
        <w:rPr>
          <w:spacing w:val="-96"/>
        </w:rPr>
        <w:t xml:space="preserve"> </w:t>
      </w:r>
      <w:r>
        <w:rPr>
          <w:spacing w:val="-3"/>
        </w:rPr>
        <w:t>施某一特定类型的变更，还应说明多项变更的累积影响和互</w:t>
      </w:r>
      <w:r>
        <w:rPr>
          <w:spacing w:val="-96"/>
        </w:rPr>
        <w:t xml:space="preserve"> </w:t>
      </w:r>
      <w:r>
        <w:t>相关联性，以及将其纳入一个方案的合理性。</w:t>
      </w:r>
    </w:p>
    <w:p w14:paraId="7B6EC3F6">
      <w:pPr>
        <w:pStyle w:val="2"/>
        <w:spacing w:before="50" w:line="348" w:lineRule="auto"/>
        <w:ind w:right="0" w:firstLine="638"/>
        <w:jc w:val="left"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）从相同或相似产品的既往经验中获得涉及开发、生</w:t>
      </w:r>
      <w:r>
        <w:rPr>
          <w:w w:val="100"/>
        </w:rPr>
        <w:t xml:space="preserve"> </w:t>
      </w:r>
      <w:r>
        <w:rPr>
          <w:spacing w:val="2"/>
        </w:rPr>
        <w:t>产、特性鉴定、批放行和稳定性的支持性数据和先验知识，</w:t>
      </w:r>
      <w:r>
        <w:rPr>
          <w:spacing w:val="-86"/>
        </w:rPr>
        <w:t xml:space="preserve"> </w:t>
      </w:r>
      <w:r>
        <w:t>以降低变更的风险。</w:t>
      </w:r>
    </w:p>
    <w:p w14:paraId="79F93F08">
      <w:pPr>
        <w:pStyle w:val="2"/>
        <w:spacing w:before="57" w:line="350" w:lineRule="auto"/>
        <w:ind w:right="432" w:firstLine="638"/>
        <w:jc w:val="both"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）产品开发及生产工艺的相关信息，有助于在科学和</w:t>
      </w:r>
      <w:r>
        <w:rPr>
          <w:w w:val="100"/>
        </w:rPr>
        <w:t xml:space="preserve"> </w:t>
      </w:r>
      <w:r>
        <w:rPr>
          <w:spacing w:val="-3"/>
        </w:rPr>
        <w:t>技术上了解拟定变更及其对产品质量的预期影响。如提供已</w:t>
      </w:r>
      <w:r>
        <w:rPr>
          <w:spacing w:val="-96"/>
        </w:rPr>
        <w:t xml:space="preserve"> </w:t>
      </w:r>
      <w:r>
        <w:rPr>
          <w:spacing w:val="-3"/>
        </w:rPr>
        <w:t>开展的研发批次或中试规模批次的研究数据，按照批量、生</w:t>
      </w:r>
      <w:r>
        <w:rPr>
          <w:spacing w:val="-96"/>
        </w:rPr>
        <w:t xml:space="preserve"> </w:t>
      </w:r>
      <w:r>
        <w:t>产场地、生产日期、生产工艺以及预期用途进行描述。</w:t>
      </w:r>
    </w:p>
    <w:p w14:paraId="70323BB7">
      <w:pPr>
        <w:pStyle w:val="2"/>
        <w:spacing w:before="58" w:line="338" w:lineRule="auto"/>
        <w:ind w:right="0" w:firstLine="638"/>
        <w:jc w:val="left"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spacing w:val="3"/>
        </w:rPr>
        <w:t>）评估已批准控制策略的适用性或是否需要对拟定</w:t>
      </w:r>
      <w:r>
        <w:rPr>
          <w:spacing w:val="4"/>
          <w:w w:val="100"/>
        </w:rPr>
        <w:t xml:space="preserve"> </w:t>
      </w:r>
      <w:r>
        <w:t>变更的相关控制策略进行变更。</w:t>
      </w:r>
    </w:p>
    <w:p w14:paraId="76C890CE">
      <w:pPr>
        <w:pStyle w:val="2"/>
        <w:spacing w:before="69" w:line="240" w:lineRule="auto"/>
        <w:ind w:left="759" w:right="0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6</w:t>
      </w:r>
      <w:r>
        <w:t>）其他支持性信息。</w:t>
      </w:r>
    </w:p>
    <w:p w14:paraId="134312CD">
      <w:pPr>
        <w:spacing w:after="0" w:line="240" w:lineRule="auto"/>
        <w:jc w:val="left"/>
        <w:sectPr>
          <w:pgSz w:w="11910" w:h="16840"/>
          <w:pgMar w:top="1380" w:right="1360" w:bottom="1380" w:left="1680" w:header="0" w:footer="1185" w:gutter="0"/>
          <w:cols w:space="720" w:num="1"/>
        </w:sectPr>
      </w:pPr>
    </w:p>
    <w:p w14:paraId="25A764B9">
      <w:pPr>
        <w:pStyle w:val="2"/>
        <w:spacing w:before="0" w:line="409" w:lineRule="exact"/>
        <w:ind w:left="600" w:right="0"/>
        <w:jc w:val="left"/>
        <w:rPr>
          <w:rFonts w:ascii="宋体" w:hAnsi="宋体" w:eastAsia="宋体" w:cs="宋体"/>
        </w:rPr>
      </w:pPr>
      <w:bookmarkStart w:id="6" w:name="_bookmark6"/>
      <w:bookmarkEnd w:id="6"/>
      <w:r>
        <w:rPr>
          <w:rFonts w:ascii="宋体" w:hAnsi="宋体" w:eastAsia="宋体" w:cs="宋体"/>
        </w:rPr>
        <w:t>（四）拟定变更的研究方案</w:t>
      </w:r>
    </w:p>
    <w:p w14:paraId="4EFDFBB5">
      <w:pPr>
        <w:pStyle w:val="2"/>
        <w:spacing w:before="205" w:line="355" w:lineRule="auto"/>
        <w:ind w:right="0" w:firstLine="480"/>
        <w:jc w:val="left"/>
      </w:pPr>
      <w:r>
        <w:rPr>
          <w:spacing w:val="-9"/>
        </w:rPr>
        <w:t>拟定变更的研究方案包括以下内容（如适用），应不降低</w:t>
      </w:r>
      <w:r>
        <w:rPr>
          <w:w w:val="100"/>
        </w:rPr>
        <w:t xml:space="preserve"> </w:t>
      </w:r>
      <w:r>
        <w:t>变更前管理类别的技术要求：</w:t>
      </w:r>
    </w:p>
    <w:p w14:paraId="3F34898E">
      <w:pPr>
        <w:pStyle w:val="2"/>
        <w:spacing w:before="51" w:line="338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1.</w:t>
      </w:r>
      <w:r>
        <w:t>针对拟定变更进行的研究</w:t>
      </w:r>
      <w:r>
        <w:rPr>
          <w:rFonts w:ascii="Times New Roman" w:hAnsi="Times New Roman" w:eastAsia="Times New Roman" w:cs="Times New Roman"/>
        </w:rPr>
        <w:t>/</w:t>
      </w:r>
      <w:r>
        <w:t>验证工作</w:t>
      </w:r>
      <w:r>
        <w:rPr>
          <w:w w:val="100"/>
        </w:rPr>
        <w:t xml:space="preserve"> </w:t>
      </w:r>
      <w:r>
        <w:rPr>
          <w:spacing w:val="-6"/>
        </w:rPr>
        <w:t>需结合拟变更事项提供支持变更的研究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验证方案，明确</w:t>
      </w:r>
    </w:p>
    <w:p w14:paraId="70B884F0">
      <w:pPr>
        <w:pStyle w:val="2"/>
        <w:spacing w:before="31" w:line="345" w:lineRule="auto"/>
        <w:ind w:right="249"/>
        <w:jc w:val="both"/>
      </w:pPr>
      <w:r>
        <w:rPr>
          <w:spacing w:val="-6"/>
        </w:rPr>
        <w:t>研究内容及标准。拟定的工艺研究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验证方案应与变更的范围</w:t>
      </w:r>
      <w:r>
        <w:rPr>
          <w:spacing w:val="-99"/>
        </w:rPr>
        <w:t xml:space="preserve"> </w:t>
      </w:r>
      <w:r>
        <w:rPr>
          <w:spacing w:val="-3"/>
        </w:rPr>
        <w:t>及风险程度相适应，方案描述的详细程度，取决于变更的复</w:t>
      </w:r>
      <w:r>
        <w:rPr>
          <w:spacing w:val="-96"/>
        </w:rPr>
        <w:t xml:space="preserve"> </w:t>
      </w:r>
      <w:r>
        <w:rPr>
          <w:spacing w:val="-6"/>
        </w:rPr>
        <w:t>杂性以及与产品质量变更有关的具体风险。研究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验证通常在</w:t>
      </w:r>
      <w:r>
        <w:rPr>
          <w:spacing w:val="-98"/>
        </w:rPr>
        <w:t xml:space="preserve"> </w:t>
      </w:r>
      <w:r>
        <w:t>商业化规模下开展。</w:t>
      </w:r>
    </w:p>
    <w:p w14:paraId="54F94478">
      <w:pPr>
        <w:pStyle w:val="2"/>
        <w:spacing w:before="60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2.</w:t>
      </w:r>
      <w:r>
        <w:t>对变更前后与产品质量相关的物料及产品进行对比研</w:t>
      </w:r>
    </w:p>
    <w:p w14:paraId="753860D3">
      <w:pPr>
        <w:spacing w:before="8" w:line="240" w:lineRule="auto"/>
        <w:rPr>
          <w:rFonts w:ascii="宋体" w:hAnsi="宋体" w:eastAsia="宋体" w:cs="宋体"/>
          <w:sz w:val="13"/>
          <w:szCs w:val="13"/>
        </w:rPr>
      </w:pPr>
    </w:p>
    <w:p w14:paraId="3A8B7026">
      <w:pPr>
        <w:pStyle w:val="2"/>
        <w:spacing w:before="2" w:line="240" w:lineRule="auto"/>
        <w:ind w:right="0"/>
        <w:jc w:val="left"/>
      </w:pPr>
      <w:r>
        <w:rPr>
          <w:w w:val="100"/>
        </w:rPr>
        <w:t>究</w:t>
      </w:r>
    </w:p>
    <w:p w14:paraId="42AC97EC">
      <w:pPr>
        <w:pStyle w:val="2"/>
        <w:spacing w:before="205" w:line="240" w:lineRule="auto"/>
        <w:ind w:left="759" w:right="0"/>
        <w:jc w:val="left"/>
      </w:pPr>
      <w:r>
        <w:rPr>
          <w:spacing w:val="10"/>
        </w:rPr>
        <w:t>基于对拟定变更的风险评估确定可能受拟定变更影响</w:t>
      </w:r>
    </w:p>
    <w:p w14:paraId="7F178D86">
      <w:pPr>
        <w:spacing w:before="2" w:line="240" w:lineRule="auto"/>
        <w:rPr>
          <w:rFonts w:ascii="宋体" w:hAnsi="宋体" w:eastAsia="宋体" w:cs="宋体"/>
          <w:sz w:val="15"/>
          <w:szCs w:val="15"/>
        </w:rPr>
      </w:pPr>
    </w:p>
    <w:p w14:paraId="55D7F1BD">
      <w:pPr>
        <w:pStyle w:val="2"/>
        <w:spacing w:before="2" w:line="357" w:lineRule="auto"/>
        <w:ind w:right="251"/>
        <w:jc w:val="both"/>
      </w:pPr>
      <w:r>
        <w:rPr>
          <w:spacing w:val="-3"/>
        </w:rPr>
        <w:t>的物料及产品以及需要进行研究的物料及产品（例如，起始</w:t>
      </w:r>
      <w:r>
        <w:rPr>
          <w:spacing w:val="-96"/>
        </w:rPr>
        <w:t xml:space="preserve"> </w:t>
      </w:r>
      <w:r>
        <w:rPr>
          <w:spacing w:val="-3"/>
        </w:rPr>
        <w:t>原料、试剂、中间体、原料药、辅料、制剂、包装材料和容</w:t>
      </w:r>
      <w:r>
        <w:rPr>
          <w:spacing w:val="-95"/>
        </w:rPr>
        <w:t xml:space="preserve"> </w:t>
      </w:r>
      <w:r>
        <w:rPr>
          <w:spacing w:val="-14"/>
        </w:rPr>
        <w:t>器等）。通常应采用商业化生产规模的样品进行对比研究，需</w:t>
      </w:r>
      <w:r>
        <w:rPr>
          <w:spacing w:val="-117"/>
        </w:rPr>
        <w:t xml:space="preserve"> </w:t>
      </w:r>
      <w:r>
        <w:rPr>
          <w:spacing w:val="-3"/>
        </w:rPr>
        <w:t>提供预计的批次数量、生产批量、生产场地和将使用的生产</w:t>
      </w:r>
      <w:r>
        <w:rPr>
          <w:spacing w:val="-96"/>
        </w:rPr>
        <w:t xml:space="preserve"> </w:t>
      </w:r>
      <w:r>
        <w:t>工艺。</w:t>
      </w:r>
    </w:p>
    <w:p w14:paraId="2F0A7266">
      <w:pPr>
        <w:pStyle w:val="2"/>
        <w:spacing w:before="49" w:line="336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3.</w:t>
      </w:r>
      <w:r>
        <w:t>基于风险评估的结果确定进行的检验和研究</w:t>
      </w:r>
      <w:r>
        <w:rPr>
          <w:w w:val="100"/>
        </w:rPr>
        <w:t xml:space="preserve"> </w:t>
      </w:r>
      <w:r>
        <w:rPr>
          <w:spacing w:val="-12"/>
        </w:rPr>
        <w:t>持有人</w:t>
      </w:r>
      <w:r>
        <w:rPr>
          <w:rFonts w:ascii="Times New Roman" w:hAnsi="Times New Roman" w:eastAsia="Times New Roman" w:cs="Times New Roman"/>
          <w:spacing w:val="-12"/>
        </w:rPr>
        <w:t>/</w:t>
      </w:r>
      <w:r>
        <w:rPr>
          <w:spacing w:val="-12"/>
        </w:rPr>
        <w:t>登记企业应进行常规质量控制（例如，质量标准、</w:t>
      </w:r>
    </w:p>
    <w:p w14:paraId="63AE73CD">
      <w:pPr>
        <w:pStyle w:val="2"/>
        <w:spacing w:before="39" w:line="357" w:lineRule="auto"/>
        <w:ind w:right="252"/>
        <w:jc w:val="both"/>
      </w:pPr>
      <w:r>
        <w:rPr>
          <w:spacing w:val="-14"/>
        </w:rPr>
        <w:t>工艺控制、持续稳定性考察等），但是常规质量控制通常不足</w:t>
      </w:r>
      <w:r>
        <w:rPr>
          <w:spacing w:val="-117"/>
        </w:rPr>
        <w:t xml:space="preserve"> </w:t>
      </w:r>
      <w:r>
        <w:rPr>
          <w:spacing w:val="-3"/>
        </w:rPr>
        <w:t>以全面表征产品质量，还应结合具体变更内容，进行额外表</w:t>
      </w:r>
      <w:r>
        <w:rPr>
          <w:spacing w:val="-96"/>
        </w:rPr>
        <w:t xml:space="preserve"> </w:t>
      </w:r>
      <w:r>
        <w:rPr>
          <w:spacing w:val="-3"/>
        </w:rPr>
        <w:t>征的检验和研究（例如，结构确证、杂质谱对比研究、溶出</w:t>
      </w:r>
    </w:p>
    <w:p w14:paraId="6A7F5735">
      <w:pPr>
        <w:spacing w:after="0" w:line="357" w:lineRule="auto"/>
        <w:jc w:val="both"/>
        <w:sectPr>
          <w:pgSz w:w="11910" w:h="16840"/>
          <w:pgMar w:top="1380" w:right="1540" w:bottom="1380" w:left="1680" w:header="0" w:footer="1185" w:gutter="0"/>
          <w:cols w:space="720" w:num="1"/>
        </w:sectPr>
      </w:pPr>
    </w:p>
    <w:p w14:paraId="38FBB2B6">
      <w:pPr>
        <w:pStyle w:val="2"/>
        <w:spacing w:before="0" w:line="345" w:lineRule="auto"/>
        <w:ind w:right="112"/>
        <w:jc w:val="both"/>
      </w:pPr>
      <w:r>
        <w:rPr>
          <w:spacing w:val="5"/>
        </w:rPr>
        <w:t>曲线对比研究、可提取物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可浸出物研究、稳定性对比研究</w:t>
      </w:r>
      <w:r>
        <w:rPr>
          <w:spacing w:val="-84"/>
        </w:rPr>
        <w:t xml:space="preserve"> </w:t>
      </w:r>
      <w:r>
        <w:rPr>
          <w:spacing w:val="-14"/>
        </w:rPr>
        <w:t>等），以评估拟定变更的潜在影响，确保产品质量不低于变更</w:t>
      </w:r>
      <w:r>
        <w:rPr>
          <w:spacing w:val="-117"/>
        </w:rPr>
        <w:t xml:space="preserve"> </w:t>
      </w:r>
      <w:r>
        <w:t>前。</w:t>
      </w:r>
    </w:p>
    <w:p w14:paraId="19E015BF">
      <w:pPr>
        <w:pStyle w:val="2"/>
        <w:spacing w:before="64" w:line="338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4.</w:t>
      </w:r>
      <w:r>
        <w:t>提供详细的分析方法</w:t>
      </w:r>
      <w:r>
        <w:rPr>
          <w:spacing w:val="-157"/>
        </w:rPr>
        <w:t xml:space="preserve"> </w:t>
      </w:r>
      <w:r>
        <w:rPr>
          <w:spacing w:val="10"/>
        </w:rPr>
        <w:t>应提供常规质量控制指标和额外表征指标详细的分析</w:t>
      </w:r>
    </w:p>
    <w:p w14:paraId="7174200B">
      <w:pPr>
        <w:pStyle w:val="2"/>
        <w:spacing w:before="69" w:line="357" w:lineRule="auto"/>
        <w:ind w:right="112"/>
        <w:jc w:val="both"/>
      </w:pPr>
      <w:r>
        <w:rPr>
          <w:spacing w:val="-3"/>
        </w:rPr>
        <w:t>方法，分析方法应能够评估拟定变更的影响，应证明分析方</w:t>
      </w:r>
      <w:r>
        <w:rPr>
          <w:spacing w:val="-96"/>
        </w:rPr>
        <w:t xml:space="preserve"> </w:t>
      </w:r>
      <w:r>
        <w:rPr>
          <w:spacing w:val="-3"/>
        </w:rPr>
        <w:t>法的可行性。申请人应酌情使用分析方法、取样方法和统计</w:t>
      </w:r>
      <w:r>
        <w:rPr>
          <w:spacing w:val="-96"/>
        </w:rPr>
        <w:t xml:space="preserve"> </w:t>
      </w:r>
      <w:r>
        <w:rPr>
          <w:spacing w:val="-3"/>
        </w:rPr>
        <w:t>方法对产品质量进行科学有效的评估。如果是同一申请中提</w:t>
      </w:r>
      <w:r>
        <w:rPr>
          <w:spacing w:val="-96"/>
        </w:rPr>
        <w:t xml:space="preserve"> </w:t>
      </w:r>
      <w:r>
        <w:t>交的分析方法，也可以在变更管理方案中予以引用。</w:t>
      </w:r>
    </w:p>
    <w:p w14:paraId="27A0CD2C">
      <w:pPr>
        <w:pStyle w:val="2"/>
        <w:spacing w:before="44" w:line="338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5.</w:t>
      </w:r>
      <w:r>
        <w:t>明确可接受标准</w:t>
      </w:r>
      <w:r>
        <w:rPr>
          <w:spacing w:val="-155"/>
        </w:rPr>
        <w:t xml:space="preserve"> </w:t>
      </w:r>
      <w:r>
        <w:rPr>
          <w:spacing w:val="10"/>
        </w:rPr>
        <w:t>应详细说明常规质量控制指标及额外表征指标的可接</w:t>
      </w:r>
    </w:p>
    <w:p w14:paraId="1C1AD557">
      <w:pPr>
        <w:pStyle w:val="2"/>
        <w:spacing w:before="74" w:line="350" w:lineRule="auto"/>
        <w:ind w:right="109"/>
        <w:jc w:val="both"/>
      </w:pPr>
      <w:r>
        <w:rPr>
          <w:spacing w:val="-3"/>
        </w:rPr>
        <w:t>受标准，并确认可接受标准的适用性。应包括杂质谱、稳定</w:t>
      </w:r>
      <w:r>
        <w:rPr>
          <w:spacing w:val="-96"/>
        </w:rPr>
        <w:t xml:space="preserve"> </w:t>
      </w:r>
      <w:r>
        <w:rPr>
          <w:spacing w:val="-3"/>
        </w:rPr>
        <w:t>性研究和任何其它研究（如适用）的可接受标准。可接受标</w:t>
      </w:r>
      <w:r>
        <w:rPr>
          <w:spacing w:val="-96"/>
        </w:rPr>
        <w:t xml:space="preserve"> </w:t>
      </w:r>
      <w:r>
        <w:rPr>
          <w:spacing w:val="-6"/>
        </w:rPr>
        <w:t>准可能还包括统计学分析，例如趋势数据分析和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或变异性分</w:t>
      </w:r>
      <w:r>
        <w:rPr>
          <w:spacing w:val="-98"/>
        </w:rPr>
        <w:t xml:space="preserve"> </w:t>
      </w:r>
      <w:r>
        <w:t>析，以确保产品质量不降低。</w:t>
      </w:r>
    </w:p>
    <w:p w14:paraId="1A7A6587">
      <w:pPr>
        <w:pStyle w:val="2"/>
        <w:spacing w:before="54" w:line="338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6.</w:t>
      </w:r>
      <w:r>
        <w:t>持续确认计划</w:t>
      </w:r>
      <w:r>
        <w:rPr>
          <w:spacing w:val="-157"/>
        </w:rPr>
        <w:t xml:space="preserve"> </w:t>
      </w:r>
      <w:r>
        <w:t>如适用，确认将在</w:t>
      </w:r>
      <w:r>
        <w:rPr>
          <w:rFonts w:ascii="Times New Roman" w:hAnsi="Times New Roman" w:eastAsia="Times New Roman" w:cs="Times New Roman"/>
        </w:rPr>
        <w:t>PQS</w:t>
      </w:r>
      <w:r>
        <w:t>下进行持续验证，以继续评价和</w:t>
      </w:r>
    </w:p>
    <w:p w14:paraId="4B1F1679">
      <w:pPr>
        <w:pStyle w:val="2"/>
        <w:spacing w:before="36" w:line="355" w:lineRule="auto"/>
        <w:ind w:right="112"/>
        <w:jc w:val="both"/>
      </w:pPr>
      <w:r>
        <w:rPr>
          <w:spacing w:val="-3"/>
        </w:rPr>
        <w:t>确保变更对产品质量无不良影响。如果实施变更后需要监测</w:t>
      </w:r>
      <w:r>
        <w:rPr>
          <w:spacing w:val="-96"/>
        </w:rPr>
        <w:t xml:space="preserve"> </w:t>
      </w:r>
      <w:r>
        <w:rPr>
          <w:spacing w:val="-3"/>
        </w:rPr>
        <w:t>对产品质量的影响，则应提供质量风险管理措施总结，以支</w:t>
      </w:r>
      <w:r>
        <w:rPr>
          <w:spacing w:val="-96"/>
        </w:rPr>
        <w:t xml:space="preserve"> </w:t>
      </w:r>
      <w:r>
        <w:rPr>
          <w:spacing w:val="-5"/>
        </w:rPr>
        <w:t>持拟定的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spacing w:val="-5"/>
        </w:rPr>
        <w:t>。</w:t>
      </w:r>
    </w:p>
    <w:p w14:paraId="59521868">
      <w:pPr>
        <w:pStyle w:val="2"/>
        <w:spacing w:before="11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7.</w:t>
      </w:r>
      <w:r>
        <w:t>其他需要符合的条件</w:t>
      </w:r>
    </w:p>
    <w:p w14:paraId="50B1DE4E">
      <w:pPr>
        <w:pStyle w:val="2"/>
        <w:spacing w:before="176" w:line="240" w:lineRule="auto"/>
        <w:ind w:left="600" w:right="0"/>
        <w:jc w:val="left"/>
        <w:rPr>
          <w:rFonts w:ascii="宋体" w:hAnsi="宋体" w:eastAsia="宋体" w:cs="宋体"/>
        </w:rPr>
      </w:pPr>
      <w:bookmarkStart w:id="7" w:name="_bookmark7"/>
      <w:bookmarkEnd w:id="7"/>
      <w:r>
        <w:rPr>
          <w:rFonts w:ascii="宋体" w:hAnsi="宋体" w:eastAsia="宋体" w:cs="宋体"/>
        </w:rPr>
        <w:t>（五）拟定的变更管理类别</w:t>
      </w:r>
    </w:p>
    <w:p w14:paraId="18527232">
      <w:pPr>
        <w:spacing w:after="0" w:line="240" w:lineRule="auto"/>
        <w:jc w:val="left"/>
        <w:rPr>
          <w:rFonts w:ascii="宋体" w:hAnsi="宋体" w:eastAsia="宋体" w:cs="宋体"/>
        </w:rPr>
        <w:sectPr>
          <w:pgSz w:w="11910" w:h="16840"/>
          <w:pgMar w:top="1380" w:right="1680" w:bottom="1380" w:left="1680" w:header="0" w:footer="1185" w:gutter="0"/>
          <w:cols w:space="720" w:num="1"/>
        </w:sectPr>
      </w:pPr>
    </w:p>
    <w:p w14:paraId="0882DD9D">
      <w:pPr>
        <w:pStyle w:val="2"/>
        <w:spacing w:before="0" w:line="338" w:lineRule="auto"/>
        <w:ind w:right="117" w:firstLine="480"/>
        <w:jc w:val="both"/>
      </w:pPr>
      <w:r>
        <w:t>持有人</w:t>
      </w:r>
      <w:r>
        <w:rPr>
          <w:rFonts w:ascii="Times New Roman" w:hAnsi="Times New Roman" w:eastAsia="Times New Roman" w:cs="Times New Roman"/>
        </w:rPr>
        <w:t>/</w:t>
      </w:r>
      <w:r>
        <w:t>登记企业应明确现有的法规或变更指导原则下的</w:t>
      </w:r>
      <w:r>
        <w:rPr>
          <w:w w:val="100"/>
        </w:rPr>
        <w:t xml:space="preserve"> </w:t>
      </w:r>
      <w:r>
        <w:t>变更管理分类，以及拟定降低后的变更管理类别。</w:t>
      </w:r>
    </w:p>
    <w:p w14:paraId="4C368BE9">
      <w:pPr>
        <w:pStyle w:val="2"/>
        <w:spacing w:before="70" w:line="240" w:lineRule="auto"/>
        <w:ind w:left="600" w:right="0"/>
        <w:jc w:val="left"/>
        <w:rPr>
          <w:rFonts w:ascii="宋体" w:hAnsi="宋体" w:eastAsia="宋体" w:cs="宋体"/>
        </w:rPr>
      </w:pPr>
      <w:bookmarkStart w:id="8" w:name="_bookmark8"/>
      <w:bookmarkEnd w:id="8"/>
      <w:r>
        <w:rPr>
          <w:rFonts w:ascii="宋体" w:hAnsi="宋体" w:eastAsia="宋体" w:cs="宋体"/>
        </w:rPr>
        <w:t>（六）其他信息</w:t>
      </w:r>
    </w:p>
    <w:p w14:paraId="5F56784B">
      <w:pPr>
        <w:pStyle w:val="2"/>
        <w:spacing w:before="205" w:line="343" w:lineRule="auto"/>
        <w:ind w:right="106" w:firstLine="480"/>
        <w:jc w:val="both"/>
      </w:pPr>
      <w:r>
        <w:t>（</w:t>
      </w:r>
      <w:r>
        <w:rPr>
          <w:rFonts w:ascii="Times New Roman" w:hAnsi="Times New Roman" w:eastAsia="Times New Roman" w:cs="Times New Roman"/>
        </w:rPr>
        <w:t>1</w:t>
      </w:r>
      <w:r>
        <w:t xml:space="preserve">）建议说明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t>是一次性变更还是产品生命周期</w:t>
      </w:r>
      <w:r>
        <w:rPr>
          <w:w w:val="100"/>
        </w:rPr>
        <w:t xml:space="preserve"> </w:t>
      </w:r>
      <w:r>
        <w:rPr>
          <w:spacing w:val="-3"/>
        </w:rPr>
        <w:t>中重复实施的同类型变更，对于一个在产品生命周期内重复</w:t>
      </w:r>
      <w:r>
        <w:rPr>
          <w:spacing w:val="-96"/>
        </w:rPr>
        <w:t xml:space="preserve"> </w:t>
      </w:r>
      <w:r>
        <w:t>实施的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</w:rPr>
        <w:t>PACMP</w:t>
      </w:r>
      <w:r>
        <w:t>，应确保累积变更不会导致产品质量出现偏</w:t>
      </w:r>
      <w:r>
        <w:rPr>
          <w:w w:val="100"/>
        </w:rPr>
        <w:t xml:space="preserve"> </w:t>
      </w:r>
      <w:r>
        <w:t>移。</w:t>
      </w:r>
    </w:p>
    <w:p w14:paraId="4B7652E7">
      <w:pPr>
        <w:pStyle w:val="2"/>
        <w:spacing w:before="68" w:line="336" w:lineRule="auto"/>
        <w:ind w:right="101" w:firstLine="480"/>
        <w:jc w:val="both"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 xml:space="preserve">）在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8"/>
        </w:rPr>
        <w:t>中承诺，拟定变更实际研究结果达到</w:t>
      </w:r>
      <w:r>
        <w:rPr>
          <w:spacing w:val="9"/>
          <w:w w:val="10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t>的可接受标准，按照拟定降低后的变更管理类别交</w:t>
      </w:r>
      <w:r>
        <w:rPr>
          <w:spacing w:val="-153"/>
        </w:rPr>
        <w:t xml:space="preserve"> </w:t>
      </w:r>
      <w:r>
        <w:t>给监管部门以供审查。</w:t>
      </w:r>
    </w:p>
    <w:p w14:paraId="4CB92C30">
      <w:pPr>
        <w:pStyle w:val="2"/>
        <w:spacing w:before="77" w:line="240" w:lineRule="auto"/>
        <w:ind w:left="600" w:right="0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3</w:t>
      </w:r>
      <w:r>
        <w:t>）提供预计实施变更的时间表。</w:t>
      </w:r>
    </w:p>
    <w:p w14:paraId="431353A0">
      <w:pPr>
        <w:pStyle w:val="2"/>
        <w:spacing w:line="240" w:lineRule="auto"/>
        <w:ind w:left="600" w:right="0"/>
        <w:jc w:val="left"/>
        <w:rPr>
          <w:rFonts w:ascii="宋体" w:hAnsi="宋体" w:eastAsia="宋体" w:cs="宋体"/>
        </w:rPr>
      </w:pPr>
      <w:bookmarkStart w:id="9" w:name="_bookmark9"/>
      <w:bookmarkEnd w:id="9"/>
      <w:r>
        <w:rPr>
          <w:rFonts w:ascii="宋体" w:hAnsi="宋体" w:eastAsia="宋体" w:cs="宋体"/>
        </w:rPr>
        <w:t>四、已批准</w:t>
      </w:r>
      <w:r>
        <w:rPr>
          <w:rFonts w:ascii="宋体" w:hAnsi="宋体" w:eastAsia="宋体" w:cs="宋体"/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宋体" w:hAnsi="宋体" w:eastAsia="宋体" w:cs="宋体"/>
        </w:rPr>
        <w:t>的修订</w:t>
      </w:r>
    </w:p>
    <w:p w14:paraId="5634B4FF">
      <w:pPr>
        <w:pStyle w:val="2"/>
        <w:spacing w:before="176" w:line="348" w:lineRule="auto"/>
        <w:ind w:right="110" w:firstLine="480"/>
        <w:jc w:val="both"/>
      </w:pPr>
      <w:r>
        <w:rPr>
          <w:spacing w:val="-7"/>
        </w:rPr>
        <w:t xml:space="preserve">一般来说，修订已批准的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7"/>
        </w:rPr>
        <w:t>需要申报补充申请。如</w:t>
      </w:r>
      <w:r>
        <w:rPr>
          <w:w w:val="100"/>
        </w:rPr>
        <w:t xml:space="preserve"> </w:t>
      </w:r>
      <w:r>
        <w:rPr>
          <w:spacing w:val="-3"/>
        </w:rPr>
        <w:t>仅为收紧可接受限度、增加检测方法或控制手段，且对产品</w:t>
      </w:r>
      <w:r>
        <w:rPr>
          <w:spacing w:val="-96"/>
        </w:rPr>
        <w:t xml:space="preserve"> </w:t>
      </w:r>
      <w:r>
        <w:t>质量提供相同或更高的保证，可进行备案。</w:t>
      </w:r>
    </w:p>
    <w:p w14:paraId="50439C86">
      <w:pPr>
        <w:pStyle w:val="2"/>
        <w:spacing w:before="57" w:line="240" w:lineRule="auto"/>
        <w:ind w:left="600" w:right="0"/>
        <w:jc w:val="left"/>
        <w:rPr>
          <w:rFonts w:ascii="宋体" w:hAnsi="宋体" w:eastAsia="宋体" w:cs="宋体"/>
        </w:rPr>
      </w:pPr>
      <w:bookmarkStart w:id="10" w:name="_bookmark10"/>
      <w:bookmarkEnd w:id="10"/>
      <w:r>
        <w:rPr>
          <w:rFonts w:ascii="宋体" w:hAnsi="宋体" w:eastAsia="宋体" w:cs="宋体"/>
        </w:rPr>
        <w:t>五、已批准</w:t>
      </w:r>
      <w:r>
        <w:rPr>
          <w:rFonts w:ascii="宋体" w:hAnsi="宋体" w:eastAsia="宋体" w:cs="宋体"/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宋体" w:hAnsi="宋体" w:eastAsia="宋体" w:cs="宋体"/>
        </w:rPr>
        <w:t>的实施</w:t>
      </w:r>
    </w:p>
    <w:p w14:paraId="16377693">
      <w:pPr>
        <w:pStyle w:val="2"/>
        <w:spacing w:line="348" w:lineRule="auto"/>
        <w:ind w:right="109" w:firstLine="480"/>
        <w:jc w:val="both"/>
      </w:pPr>
      <w:r>
        <w:t xml:space="preserve">在按照已批准的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t>实施方案前，持有人</w:t>
      </w:r>
      <w:r>
        <w:rPr>
          <w:rFonts w:ascii="Times New Roman" w:hAnsi="Times New Roman" w:eastAsia="Times New Roman" w:cs="Times New Roman"/>
        </w:rPr>
        <w:t>/</w:t>
      </w:r>
      <w:r>
        <w:t>登记企业</w:t>
      </w:r>
      <w:r>
        <w:rPr>
          <w:w w:val="100"/>
        </w:rPr>
        <w:t xml:space="preserve"> </w:t>
      </w:r>
      <w:r>
        <w:t>应基于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PQS</w:t>
      </w:r>
      <w:r>
        <w:t>，对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t>中的风险评估进行回顾，并将其与</w:t>
      </w:r>
      <w:r>
        <w:rPr>
          <w:w w:val="100"/>
        </w:rPr>
        <w:t xml:space="preserve"> </w:t>
      </w:r>
      <w:r>
        <w:rPr>
          <w:spacing w:val="-3"/>
        </w:rPr>
        <w:t>当前对产品和生产工艺的理解进行对比，以确保与拟定变更</w:t>
      </w:r>
      <w:r>
        <w:rPr>
          <w:spacing w:val="-96"/>
        </w:rPr>
        <w:t xml:space="preserve"> </w:t>
      </w:r>
      <w:r>
        <w:rPr>
          <w:spacing w:val="-3"/>
        </w:rPr>
        <w:t>相关的风险评估结果仍然有效。如果风险评估的回顾结果表</w:t>
      </w:r>
      <w:r>
        <w:rPr>
          <w:spacing w:val="-96"/>
        </w:rPr>
        <w:t xml:space="preserve"> </w:t>
      </w:r>
      <w:r>
        <w:rPr>
          <w:spacing w:val="-3"/>
        </w:rPr>
        <w:t>明，与拟定变更相关的风险明显增加，则先前已批准的变更</w:t>
      </w:r>
      <w:r>
        <w:rPr>
          <w:spacing w:val="-96"/>
        </w:rPr>
        <w:t xml:space="preserve"> </w:t>
      </w:r>
      <w:r>
        <w:rPr>
          <w:spacing w:val="-6"/>
        </w:rPr>
        <w:t>管理类别不再适用。持有人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登记企业应遵循现有的法规或变</w:t>
      </w:r>
    </w:p>
    <w:p w14:paraId="17ACB191">
      <w:pPr>
        <w:spacing w:after="0" w:line="348" w:lineRule="auto"/>
        <w:jc w:val="both"/>
        <w:sectPr>
          <w:pgSz w:w="11910" w:h="16840"/>
          <w:pgMar w:top="1380" w:right="1680" w:bottom="1380" w:left="1680" w:header="0" w:footer="1185" w:gutter="0"/>
          <w:cols w:space="720" w:num="1"/>
        </w:sectPr>
      </w:pPr>
    </w:p>
    <w:p w14:paraId="4CBD5D31">
      <w:pPr>
        <w:pStyle w:val="2"/>
        <w:spacing w:before="0" w:line="338" w:lineRule="auto"/>
        <w:ind w:left="759" w:right="0" w:hanging="639"/>
        <w:jc w:val="left"/>
      </w:pPr>
      <w:r>
        <w:t>更指导原则进行变更管理，或重新提交新的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spacing w:val="-7"/>
        </w:rPr>
        <w:t>。</w:t>
      </w:r>
      <w:r>
        <w:rPr>
          <w:spacing w:val="-153"/>
        </w:rPr>
        <w:t xml:space="preserve"> </w:t>
      </w:r>
      <w:r>
        <w:t xml:space="preserve">当已批准的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t>中拟定的研究验证工作都已经完成，</w:t>
      </w:r>
    </w:p>
    <w:p w14:paraId="52D1D31A">
      <w:pPr>
        <w:pStyle w:val="2"/>
        <w:spacing w:before="31" w:line="345" w:lineRule="auto"/>
        <w:ind w:right="429"/>
        <w:jc w:val="both"/>
      </w:pPr>
      <w:r>
        <w:rPr>
          <w:spacing w:val="-6"/>
        </w:rPr>
        <w:t>且研究结果达到可接受标准，持有人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登记企业应按照已批准</w:t>
      </w:r>
      <w:r>
        <w:rPr>
          <w:spacing w:val="-100"/>
        </w:rPr>
        <w:t xml:space="preserve"> </w:t>
      </w:r>
      <w:r>
        <w:t xml:space="preserve">的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t>中降低后的变更管理类别，将研究数据以备案方</w:t>
      </w:r>
      <w:r>
        <w:rPr>
          <w:w w:val="100"/>
        </w:rPr>
        <w:t xml:space="preserve"> </w:t>
      </w:r>
      <w:r>
        <w:rPr>
          <w:spacing w:val="-6"/>
        </w:rPr>
        <w:t>式提交给监管部门，供监管部门审查，境内持有人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登记企业</w:t>
      </w:r>
      <w:r>
        <w:rPr>
          <w:spacing w:val="-98"/>
        </w:rPr>
        <w:t xml:space="preserve"> </w:t>
      </w:r>
      <w:r>
        <w:rPr>
          <w:spacing w:val="-6"/>
        </w:rPr>
        <w:t>应向省级药品监管部门提交研究数据，境外持有人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登记企业</w:t>
      </w:r>
      <w:r>
        <w:rPr>
          <w:spacing w:val="-98"/>
        </w:rPr>
        <w:t xml:space="preserve"> </w:t>
      </w:r>
      <w:r>
        <w:rPr>
          <w:spacing w:val="-3"/>
        </w:rPr>
        <w:t>应向药审中心提交研究数据。如降低后的变更管理类别为中</w:t>
      </w:r>
      <w:r>
        <w:rPr>
          <w:spacing w:val="-96"/>
        </w:rPr>
        <w:t xml:space="preserve"> </w:t>
      </w:r>
      <w:r>
        <w:rPr>
          <w:spacing w:val="-3"/>
        </w:rPr>
        <w:t>等变更的，监管部门对研究数据进行审查，如降低后的变更</w:t>
      </w:r>
      <w:r>
        <w:rPr>
          <w:spacing w:val="-96"/>
        </w:rPr>
        <w:t xml:space="preserve"> </w:t>
      </w:r>
      <w:r>
        <w:rPr>
          <w:spacing w:val="-3"/>
        </w:rPr>
        <w:t>管理类别是微小变更的，监管部门可依据《药品年度报告管</w:t>
      </w:r>
      <w:r>
        <w:rPr>
          <w:spacing w:val="-96"/>
        </w:rPr>
        <w:t xml:space="preserve"> </w:t>
      </w:r>
      <w:r>
        <w:t>理规定》的有关要求执行。</w:t>
      </w:r>
    </w:p>
    <w:p w14:paraId="7F4F0517">
      <w:pPr>
        <w:pStyle w:val="2"/>
        <w:spacing w:before="64" w:line="240" w:lineRule="auto"/>
        <w:ind w:left="759" w:right="0"/>
        <w:jc w:val="left"/>
      </w:pPr>
      <w:r>
        <w:t>向监管部门提交的资料应包括但不限于以下内容：</w:t>
      </w:r>
    </w:p>
    <w:p w14:paraId="0246C719">
      <w:pPr>
        <w:pStyle w:val="2"/>
        <w:spacing w:before="205" w:line="345" w:lineRule="auto"/>
        <w:ind w:right="429" w:firstLine="638"/>
        <w:jc w:val="both"/>
      </w:pPr>
      <w:r>
        <w:rPr>
          <w:rFonts w:ascii="Times New Roman" w:hAnsi="Times New Roman" w:eastAsia="Times New Roman" w:cs="Times New Roman"/>
          <w:spacing w:val="-12"/>
        </w:rPr>
        <w:t>1.</w:t>
      </w:r>
      <w:r>
        <w:rPr>
          <w:spacing w:val="-12"/>
        </w:rPr>
        <w:t>按照《化学药品变更受理审查指南（试行）》的申报资</w:t>
      </w:r>
      <w:r>
        <w:rPr>
          <w:w w:val="100"/>
        </w:rPr>
        <w:t xml:space="preserve"> </w:t>
      </w:r>
      <w:r>
        <w:rPr>
          <w:spacing w:val="-3"/>
        </w:rPr>
        <w:t>料审查要点，提供药品注册证书及其附件的复印件和相关证</w:t>
      </w:r>
      <w:r>
        <w:rPr>
          <w:spacing w:val="-96"/>
        </w:rPr>
        <w:t xml:space="preserve"> </w:t>
      </w:r>
      <w:r>
        <w:rPr>
          <w:spacing w:val="-3"/>
        </w:rPr>
        <w:t>明性材料（如境外上市国家或地区药品管理机构出具的允许</w:t>
      </w:r>
      <w:r>
        <w:rPr>
          <w:spacing w:val="-96"/>
        </w:rPr>
        <w:t xml:space="preserve"> </w:t>
      </w:r>
      <w:r>
        <w:rPr>
          <w:spacing w:val="-18"/>
        </w:rPr>
        <w:t>变更的证明性文件等），还需提供批准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t>的证明性文件</w:t>
      </w:r>
      <w:r>
        <w:rPr>
          <w:spacing w:val="-157"/>
        </w:rPr>
        <w:t xml:space="preserve"> </w:t>
      </w:r>
      <w:r>
        <w:t>及历次修订情况。</w:t>
      </w:r>
    </w:p>
    <w:p w14:paraId="3427874D">
      <w:pPr>
        <w:pStyle w:val="2"/>
        <w:spacing w:before="64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2.</w:t>
      </w:r>
      <w:r>
        <w:t>声明研究结果已达到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t>中所有可接受标准。</w:t>
      </w:r>
    </w:p>
    <w:p w14:paraId="76A83285">
      <w:pPr>
        <w:pStyle w:val="2"/>
        <w:spacing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  <w:spacing w:val="-16"/>
        </w:rPr>
        <w:t>3.</w:t>
      </w:r>
      <w:r>
        <w:rPr>
          <w:spacing w:val="-16"/>
        </w:rPr>
        <w:t>声明建立了有效的药品质量体系（</w:t>
      </w:r>
      <w:r>
        <w:rPr>
          <w:rFonts w:ascii="Times New Roman" w:hAnsi="Times New Roman" w:eastAsia="Times New Roman" w:cs="Times New Roman"/>
          <w:spacing w:val="-16"/>
        </w:rPr>
        <w:t>PQS</w:t>
      </w:r>
      <w:r>
        <w:rPr>
          <w:spacing w:val="-16"/>
        </w:rPr>
        <w:t>）。</w:t>
      </w:r>
    </w:p>
    <w:p w14:paraId="76434206">
      <w:pPr>
        <w:pStyle w:val="2"/>
        <w:spacing w:before="176" w:line="338" w:lineRule="auto"/>
        <w:ind w:right="435" w:firstLine="638"/>
        <w:jc w:val="both"/>
      </w:pPr>
      <w:r>
        <w:rPr>
          <w:rFonts w:ascii="Times New Roman" w:hAnsi="Times New Roman" w:eastAsia="Times New Roman" w:cs="Times New Roman"/>
        </w:rPr>
        <w:t>4.</w:t>
      </w:r>
      <w:r>
        <w:t>提供拟定变更方案的详细实施信息、研究验证数据及</w:t>
      </w:r>
      <w:r>
        <w:rPr>
          <w:w w:val="100"/>
        </w:rPr>
        <w:t xml:space="preserve"> </w:t>
      </w:r>
      <w:r>
        <w:t>对比研究结果，并对数据进行分析说明。</w:t>
      </w:r>
    </w:p>
    <w:p w14:paraId="44ADE95E">
      <w:pPr>
        <w:pStyle w:val="2"/>
        <w:spacing w:before="74" w:line="336" w:lineRule="auto"/>
        <w:ind w:right="429" w:firstLine="638"/>
        <w:jc w:val="both"/>
      </w:pPr>
      <w:r>
        <w:rPr>
          <w:rFonts w:ascii="Times New Roman" w:hAnsi="Times New Roman" w:eastAsia="Times New Roman" w:cs="Times New Roman"/>
        </w:rPr>
        <w:t>5.</w:t>
      </w:r>
      <w:r>
        <w:t xml:space="preserve">根据研究验证结果，更新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63"/>
        </w:rPr>
        <w:t xml:space="preserve"> </w:t>
      </w:r>
      <w:r>
        <w:t>中的风险评估及对</w:t>
      </w:r>
      <w:r>
        <w:rPr>
          <w:w w:val="100"/>
        </w:rPr>
        <w:t xml:space="preserve"> </w:t>
      </w:r>
      <w:r>
        <w:rPr>
          <w:spacing w:val="-3"/>
        </w:rPr>
        <w:t>应的控制措施；若风险评估无变化，需提交风险评估无变化</w:t>
      </w:r>
    </w:p>
    <w:p w14:paraId="1E24E2D1">
      <w:pPr>
        <w:spacing w:after="0" w:line="336" w:lineRule="auto"/>
        <w:jc w:val="both"/>
        <w:sectPr>
          <w:pgSz w:w="11910" w:h="16840"/>
          <w:pgMar w:top="1380" w:right="1360" w:bottom="1380" w:left="1680" w:header="0" w:footer="1185" w:gutter="0"/>
          <w:cols w:space="720" w:num="1"/>
        </w:sectPr>
      </w:pPr>
    </w:p>
    <w:p w14:paraId="516FDF0A">
      <w:pPr>
        <w:pStyle w:val="2"/>
        <w:spacing w:before="0" w:line="409" w:lineRule="exact"/>
        <w:ind w:right="0"/>
        <w:jc w:val="left"/>
      </w:pPr>
      <w:r>
        <w:t>声明。</w:t>
      </w:r>
    </w:p>
    <w:p w14:paraId="3E919F52">
      <w:pPr>
        <w:pStyle w:val="2"/>
        <w:spacing w:before="205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6.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29"/>
        </w:rPr>
        <w:t>总结在实施过程中与已获批方案的任何微小偏离</w:t>
      </w:r>
    </w:p>
    <w:p w14:paraId="6D01AD24">
      <w:pPr>
        <w:pStyle w:val="2"/>
        <w:spacing w:before="177" w:line="240" w:lineRule="auto"/>
        <w:ind w:right="0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deviations</w:t>
      </w:r>
      <w:r>
        <w:t>）以及对偏离的论证，分析是否影响变更实施。</w:t>
      </w:r>
    </w:p>
    <w:p w14:paraId="06EE3D79">
      <w:pPr>
        <w:pStyle w:val="2"/>
        <w:spacing w:line="338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7.</w:t>
      </w:r>
      <w:r>
        <w:t>其他参考《已上市化学药品药学变更研究技术指导原</w:t>
      </w:r>
      <w:r>
        <w:rPr>
          <w:w w:val="100"/>
        </w:rPr>
        <w:t xml:space="preserve"> </w:t>
      </w:r>
      <w:r>
        <w:rPr>
          <w:spacing w:val="-25"/>
        </w:rPr>
        <w:t>则（试行）》需要提供的资料，如批检验报告、批生产记录等。</w:t>
      </w:r>
    </w:p>
    <w:p w14:paraId="44D007D3">
      <w:pPr>
        <w:pStyle w:val="2"/>
        <w:spacing w:before="69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8.</w:t>
      </w:r>
      <w:r>
        <w:t>对本次变更进行总结。</w:t>
      </w:r>
    </w:p>
    <w:p w14:paraId="0E6536A6">
      <w:pPr>
        <w:pStyle w:val="2"/>
        <w:spacing w:line="240" w:lineRule="auto"/>
        <w:ind w:left="759" w:right="0"/>
        <w:jc w:val="left"/>
        <w:rPr>
          <w:rFonts w:ascii="宋体" w:hAnsi="宋体" w:eastAsia="宋体" w:cs="宋体"/>
        </w:rPr>
      </w:pPr>
      <w:bookmarkStart w:id="11" w:name="_bookmark11"/>
      <w:bookmarkEnd w:id="11"/>
      <w:r>
        <w:rPr>
          <w:rFonts w:ascii="宋体" w:hAnsi="宋体" w:eastAsia="宋体" w:cs="宋体"/>
        </w:rPr>
        <w:t>六、不适合提交</w:t>
      </w:r>
      <w:r>
        <w:rPr>
          <w:rFonts w:ascii="宋体" w:hAnsi="宋体" w:eastAsia="宋体" w:cs="宋体"/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宋体" w:hAnsi="宋体" w:eastAsia="宋体" w:cs="宋体"/>
        </w:rPr>
        <w:t>的情形</w:t>
      </w:r>
    </w:p>
    <w:p w14:paraId="4DADA43D">
      <w:pPr>
        <w:pStyle w:val="2"/>
        <w:spacing w:line="338" w:lineRule="auto"/>
        <w:ind w:right="0" w:firstLine="638"/>
        <w:jc w:val="left"/>
      </w:pPr>
      <w:r>
        <w:t xml:space="preserve">一般来说，不适合提交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>的情形包括但不限于以</w:t>
      </w:r>
      <w:r>
        <w:rPr>
          <w:w w:val="100"/>
        </w:rPr>
        <w:t xml:space="preserve"> </w:t>
      </w:r>
      <w:r>
        <w:t>下情形：</w:t>
      </w:r>
    </w:p>
    <w:p w14:paraId="0661A397">
      <w:pPr>
        <w:pStyle w:val="2"/>
        <w:spacing w:before="69" w:line="338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1.</w:t>
      </w:r>
      <w:r>
        <w:t>未明确具体的变更计划，如申请变更生产工艺，但未</w:t>
      </w:r>
      <w:r>
        <w:rPr>
          <w:w w:val="100"/>
        </w:rPr>
        <w:t xml:space="preserve"> </w:t>
      </w:r>
      <w:r>
        <w:t>明确具体的变更内容。</w:t>
      </w:r>
    </w:p>
    <w:p w14:paraId="56250752">
      <w:pPr>
        <w:pStyle w:val="2"/>
        <w:spacing w:before="74" w:line="345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2.</w:t>
      </w:r>
      <w:r>
        <w:t>对产品质量的影响不能通过前瞻性定义的研究来确定</w:t>
      </w:r>
      <w:r>
        <w:rPr>
          <w:w w:val="100"/>
        </w:rPr>
        <w:t xml:space="preserve"> </w:t>
      </w:r>
      <w:r>
        <w:rPr>
          <w:spacing w:val="-9"/>
        </w:rPr>
        <w:t>的变更，如难以表征的产品的变更、变更原料药的合成路线、</w:t>
      </w:r>
      <w:r>
        <w:rPr>
          <w:spacing w:val="-93"/>
        </w:rPr>
        <w:t xml:space="preserve"> </w:t>
      </w:r>
      <w:r>
        <w:t>湿法制粒变更为干法制粒等。</w:t>
      </w:r>
    </w:p>
    <w:p w14:paraId="75799445">
      <w:pPr>
        <w:pStyle w:val="2"/>
        <w:spacing w:before="64" w:line="343" w:lineRule="auto"/>
        <w:ind w:right="269" w:firstLine="638"/>
        <w:jc w:val="both"/>
      </w:pPr>
      <w:r>
        <w:rPr>
          <w:rFonts w:ascii="Times New Roman" w:hAnsi="Times New Roman" w:eastAsia="Times New Roman" w:cs="Times New Roman"/>
        </w:rPr>
        <w:t>3.</w:t>
      </w:r>
      <w:r>
        <w:t>需要有效性、安全性（临床或非临床）或人体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</w:rPr>
        <w:t>PK/PD</w:t>
      </w:r>
      <w:r>
        <w:rPr>
          <w:rFonts w:ascii="Times New Roman" w:hAnsi="Times New Roman" w:eastAsia="Times New Roman" w:cs="Times New Roman"/>
          <w:w w:val="100"/>
        </w:rPr>
        <w:t xml:space="preserve"> </w:t>
      </w:r>
      <w:r>
        <w:rPr>
          <w:spacing w:val="-3"/>
        </w:rPr>
        <w:t>支持性数据来评价变更影响的药学变更（例如，某些处方变</w:t>
      </w:r>
      <w:r>
        <w:rPr>
          <w:spacing w:val="-96"/>
        </w:rPr>
        <w:t xml:space="preserve"> </w:t>
      </w:r>
      <w:r>
        <w:rPr>
          <w:spacing w:val="-6"/>
        </w:rPr>
        <w:t>更、评价新杂质的临床或非临床研究、免疫原性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抗原性的评</w:t>
      </w:r>
      <w:r>
        <w:rPr>
          <w:spacing w:val="-98"/>
        </w:rPr>
        <w:t xml:space="preserve"> </w:t>
      </w:r>
      <w:r>
        <w:rPr>
          <w:spacing w:val="-53"/>
        </w:rPr>
        <w:t>估）。</w:t>
      </w:r>
    </w:p>
    <w:p w14:paraId="4695032F">
      <w:pPr>
        <w:pStyle w:val="2"/>
        <w:spacing w:before="63" w:line="338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4.</w:t>
      </w:r>
      <w:r>
        <w:t>药学变更导致需要修改说明书中安全性或有效性信息</w:t>
      </w:r>
      <w:r>
        <w:rPr>
          <w:w w:val="100"/>
        </w:rPr>
        <w:t xml:space="preserve"> </w:t>
      </w:r>
      <w:r>
        <w:t>的。</w:t>
      </w:r>
    </w:p>
    <w:p w14:paraId="41C78BB3">
      <w:pPr>
        <w:pStyle w:val="2"/>
        <w:spacing w:before="74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5.</w:t>
      </w:r>
      <w:r>
        <w:t>需要与登记状态为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>I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t>的原辅包关联审评的制剂的变更。</w:t>
      </w:r>
    </w:p>
    <w:p w14:paraId="2F9904D7">
      <w:pPr>
        <w:pStyle w:val="2"/>
        <w:spacing w:before="176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6.</w:t>
      </w:r>
      <w:r>
        <w:t>药品注册标准的重大变更。</w:t>
      </w:r>
    </w:p>
    <w:p w14:paraId="2014FC1E">
      <w:pPr>
        <w:spacing w:after="0" w:line="240" w:lineRule="auto"/>
        <w:jc w:val="left"/>
        <w:sectPr>
          <w:pgSz w:w="11910" w:h="16840"/>
          <w:pgMar w:top="1380" w:right="1520" w:bottom="1380" w:left="1680" w:header="0" w:footer="1185" w:gutter="0"/>
          <w:cols w:space="720" w:num="1"/>
        </w:sectPr>
      </w:pPr>
    </w:p>
    <w:p w14:paraId="07C30E96">
      <w:pPr>
        <w:pStyle w:val="2"/>
        <w:spacing w:before="0" w:line="433" w:lineRule="exact"/>
        <w:ind w:left="759" w:right="0"/>
        <w:jc w:val="left"/>
      </w:pPr>
      <w:r>
        <w:rPr>
          <w:rFonts w:ascii="Times New Roman" w:hAnsi="Times New Roman" w:eastAsia="Times New Roman" w:cs="Times New Roman"/>
        </w:rPr>
        <w:t>7.</w:t>
      </w:r>
      <w:r>
        <w:t>增加规格等需要核发新的批准文号的变更。</w:t>
      </w:r>
    </w:p>
    <w:p w14:paraId="62754003">
      <w:pPr>
        <w:pStyle w:val="2"/>
        <w:spacing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8.</w:t>
      </w:r>
      <w:r>
        <w:t>其他存在较大风险且不具有预测性或前瞻性的变更。</w:t>
      </w:r>
    </w:p>
    <w:p w14:paraId="6916A943">
      <w:pPr>
        <w:pStyle w:val="2"/>
        <w:spacing w:before="177" w:line="240" w:lineRule="auto"/>
        <w:ind w:left="759" w:right="0"/>
        <w:jc w:val="left"/>
        <w:rPr>
          <w:rFonts w:ascii="宋体" w:hAnsi="宋体" w:eastAsia="宋体" w:cs="宋体"/>
        </w:rPr>
      </w:pPr>
      <w:bookmarkStart w:id="12" w:name="_bookmark12"/>
      <w:bookmarkEnd w:id="12"/>
      <w:r>
        <w:rPr>
          <w:rFonts w:ascii="宋体" w:hAnsi="宋体" w:eastAsia="宋体" w:cs="宋体"/>
          <w:spacing w:val="-5"/>
        </w:rPr>
        <w:t>七、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宋体" w:hAnsi="宋体" w:eastAsia="宋体" w:cs="宋体"/>
        </w:rPr>
        <w:t>不被批准的情形</w:t>
      </w:r>
    </w:p>
    <w:p w14:paraId="529966E0">
      <w:pPr>
        <w:pStyle w:val="2"/>
        <w:spacing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t>不被批准的情形包括但不限于以下情形：</w:t>
      </w:r>
    </w:p>
    <w:p w14:paraId="47B1944F">
      <w:pPr>
        <w:pStyle w:val="2"/>
        <w:spacing w:line="336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1.</w:t>
      </w:r>
      <w:r>
        <w:t>药品质量体系存在缺陷、变更管理能力不足、质量风</w:t>
      </w:r>
      <w:r>
        <w:rPr>
          <w:w w:val="100"/>
        </w:rPr>
        <w:t xml:space="preserve"> </w:t>
      </w:r>
      <w:r>
        <w:t>险管理能力不足等，不具备实施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ICH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Q12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t>要求的条件。</w:t>
      </w:r>
    </w:p>
    <w:p w14:paraId="581D9C26">
      <w:pPr>
        <w:pStyle w:val="2"/>
        <w:spacing w:before="39" w:line="338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2.</w:t>
      </w:r>
      <w:r>
        <w:t>拟定变更的风险评估不充分，或变更很可能会对产品</w:t>
      </w:r>
      <w:r>
        <w:rPr>
          <w:w w:val="100"/>
        </w:rPr>
        <w:t xml:space="preserve"> </w:t>
      </w:r>
      <w:r>
        <w:t>质量产生不良影响的。</w:t>
      </w:r>
    </w:p>
    <w:p w14:paraId="78FD68E3">
      <w:pPr>
        <w:pStyle w:val="2"/>
        <w:spacing w:before="74" w:line="336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3.</w:t>
      </w:r>
      <w:r>
        <w:t>未对变更内容进行详细说明，无法确定需进行的检验</w:t>
      </w:r>
      <w:r>
        <w:rPr>
          <w:w w:val="100"/>
        </w:rPr>
        <w:t xml:space="preserve"> </w:t>
      </w:r>
      <w:r>
        <w:t>和研究（包括拟定分析方法）以及可接受标准。</w:t>
      </w:r>
    </w:p>
    <w:p w14:paraId="21EE1101">
      <w:pPr>
        <w:pStyle w:val="2"/>
        <w:spacing w:before="77" w:line="338" w:lineRule="auto"/>
        <w:ind w:right="0" w:firstLine="638"/>
        <w:jc w:val="left"/>
      </w:pPr>
      <w:r>
        <w:rPr>
          <w:rFonts w:ascii="Times New Roman" w:hAnsi="Times New Roman" w:eastAsia="Times New Roman" w:cs="Times New Roman"/>
          <w:spacing w:val="-6"/>
        </w:rPr>
        <w:t>4.</w:t>
      </w:r>
      <w:r>
        <w:rPr>
          <w:spacing w:val="-6"/>
        </w:rPr>
        <w:t>未详细说明拟进行的检验和研究（包括拟定分析方法）</w:t>
      </w:r>
      <w:r>
        <w:rPr>
          <w:w w:val="100"/>
        </w:rPr>
        <w:t xml:space="preserve"> </w:t>
      </w:r>
      <w:r>
        <w:t>以及可接受标准。</w:t>
      </w:r>
    </w:p>
    <w:p w14:paraId="7D26F9EF">
      <w:pPr>
        <w:pStyle w:val="2"/>
        <w:spacing w:before="69" w:line="338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5.</w:t>
      </w:r>
      <w:r>
        <w:t>拟定的检验、研究和可接受标准不合理，不能证明变</w:t>
      </w:r>
      <w:r>
        <w:rPr>
          <w:w w:val="100"/>
        </w:rPr>
        <w:t xml:space="preserve"> </w:t>
      </w:r>
      <w:r>
        <w:t>更不会对产品质量产生不良影响。</w:t>
      </w:r>
    </w:p>
    <w:p w14:paraId="03A3F16E">
      <w:pPr>
        <w:pStyle w:val="2"/>
        <w:spacing w:before="74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6.</w:t>
      </w:r>
      <w:r>
        <w:t xml:space="preserve">需要进行临床或非临床研究以及人体 </w:t>
      </w:r>
      <w:r>
        <w:rPr>
          <w:rFonts w:ascii="Times New Roman" w:hAnsi="Times New Roman" w:eastAsia="Times New Roman" w:cs="Times New Roman"/>
        </w:rPr>
        <w:t>PK/PD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t>研究的。</w:t>
      </w:r>
    </w:p>
    <w:p w14:paraId="527B3ADD">
      <w:pPr>
        <w:pStyle w:val="2"/>
        <w:spacing w:before="177" w:line="338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7.</w:t>
      </w:r>
      <w:r>
        <w:t>其他所提供的信息不足以支持拟定变更是否可能对产</w:t>
      </w:r>
      <w:r>
        <w:rPr>
          <w:w w:val="100"/>
        </w:rPr>
        <w:t xml:space="preserve"> </w:t>
      </w:r>
      <w:r>
        <w:t>品质量产生不良影响。</w:t>
      </w:r>
    </w:p>
    <w:p w14:paraId="6E9CE3E0">
      <w:pPr>
        <w:pStyle w:val="2"/>
        <w:spacing w:before="74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8.</w:t>
      </w:r>
      <w:r>
        <w:t>其他存在较大风险的情形。</w:t>
      </w:r>
    </w:p>
    <w:p w14:paraId="3D6A17EE">
      <w:pPr>
        <w:pStyle w:val="2"/>
        <w:spacing w:before="176" w:line="240" w:lineRule="auto"/>
        <w:ind w:left="759" w:right="0"/>
        <w:jc w:val="left"/>
        <w:rPr>
          <w:rFonts w:ascii="宋体" w:hAnsi="宋体" w:eastAsia="宋体" w:cs="宋体"/>
        </w:rPr>
      </w:pPr>
      <w:bookmarkStart w:id="13" w:name="_bookmark13"/>
      <w:bookmarkEnd w:id="13"/>
      <w:r>
        <w:rPr>
          <w:rFonts w:ascii="宋体" w:hAnsi="宋体" w:eastAsia="宋体" w:cs="宋体"/>
          <w:spacing w:val="-5"/>
        </w:rPr>
        <w:t>八、</w:t>
      </w:r>
      <w:r>
        <w:rPr>
          <w:rFonts w:ascii="Times New Roman" w:hAnsi="Times New Roman" w:eastAsia="Times New Roman" w:cs="Times New Roman"/>
          <w:spacing w:val="-5"/>
        </w:rPr>
        <w:t>PACMP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宋体" w:hAnsi="宋体" w:eastAsia="宋体" w:cs="宋体"/>
        </w:rPr>
        <w:t>的废止</w:t>
      </w:r>
    </w:p>
    <w:p w14:paraId="3EE1FC25">
      <w:pPr>
        <w:pStyle w:val="2"/>
        <w:spacing w:line="336" w:lineRule="auto"/>
        <w:ind w:right="242" w:firstLine="638"/>
        <w:jc w:val="both"/>
      </w:pPr>
      <w:r>
        <w:rPr>
          <w:spacing w:val="21"/>
        </w:rPr>
        <w:t xml:space="preserve">单次使用的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4"/>
        </w:rPr>
        <w:t>的有效期为五年，重复使用的</w:t>
      </w:r>
      <w:r>
        <w:rPr>
          <w:spacing w:val="-13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t>首次变更应在五年内完成，两次变更间隔不超过五</w:t>
      </w:r>
      <w:r>
        <w:rPr>
          <w:spacing w:val="-148"/>
        </w:rPr>
        <w:t xml:space="preserve"> </w:t>
      </w:r>
      <w:r>
        <w:t>年。</w:t>
      </w:r>
    </w:p>
    <w:p w14:paraId="082ADA9D">
      <w:pPr>
        <w:spacing w:after="0" w:line="336" w:lineRule="auto"/>
        <w:jc w:val="both"/>
        <w:sectPr>
          <w:pgSz w:w="11910" w:h="16840"/>
          <w:pgMar w:top="1380" w:right="1520" w:bottom="1380" w:left="1680" w:header="0" w:footer="1185" w:gutter="0"/>
          <w:cols w:space="720" w:num="1"/>
        </w:sectPr>
      </w:pPr>
    </w:p>
    <w:p w14:paraId="0FB68061">
      <w:pPr>
        <w:pStyle w:val="2"/>
        <w:spacing w:before="0" w:line="338" w:lineRule="auto"/>
        <w:ind w:right="109" w:firstLine="638"/>
        <w:jc w:val="both"/>
      </w:pPr>
      <w:r>
        <w:t xml:space="preserve">如相关风险增加导致已批准的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>不再适用，或者</w:t>
      </w:r>
      <w:r>
        <w:rPr>
          <w:w w:val="100"/>
        </w:rPr>
        <w:t xml:space="preserve"> </w:t>
      </w:r>
      <w:r>
        <w:t xml:space="preserve">研究验证结果未达到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t>的可接受标准，或者出现影响</w:t>
      </w:r>
      <w:r>
        <w:rPr>
          <w:w w:val="100"/>
        </w:rPr>
        <w:t xml:space="preserve"> </w:t>
      </w:r>
      <w:r>
        <w:t xml:space="preserve">产品质量的非预期结果，无法采用已批准的 </w:t>
      </w:r>
      <w:r>
        <w:rPr>
          <w:rFonts w:ascii="Times New Roman" w:hAnsi="Times New Roman" w:eastAsia="Times New Roman" w:cs="Times New Roman"/>
          <w:spacing w:val="-8"/>
        </w:rPr>
        <w:t>PACMP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t>实施变</w:t>
      </w:r>
      <w:r>
        <w:rPr>
          <w:w w:val="100"/>
        </w:rPr>
        <w:t xml:space="preserve"> </w:t>
      </w:r>
      <w:r>
        <w:t>更时，以备案方式废止已批准的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PACMP</w:t>
      </w:r>
      <w:r>
        <w:rPr>
          <w:spacing w:val="-7"/>
        </w:rPr>
        <w:t>。</w:t>
      </w:r>
    </w:p>
    <w:p w14:paraId="58276DC0">
      <w:pPr>
        <w:pStyle w:val="2"/>
        <w:spacing w:before="36" w:line="240" w:lineRule="auto"/>
        <w:ind w:left="759" w:right="0"/>
        <w:jc w:val="left"/>
        <w:rPr>
          <w:rFonts w:ascii="宋体" w:hAnsi="宋体" w:eastAsia="宋体" w:cs="宋体"/>
        </w:rPr>
      </w:pPr>
      <w:bookmarkStart w:id="14" w:name="_bookmark14"/>
      <w:bookmarkEnd w:id="14"/>
      <w:r>
        <w:rPr>
          <w:rFonts w:ascii="宋体" w:hAnsi="宋体" w:eastAsia="宋体" w:cs="宋体"/>
        </w:rPr>
        <w:t>九、参考文献</w:t>
      </w:r>
    </w:p>
    <w:p w14:paraId="050445DE">
      <w:pPr>
        <w:pStyle w:val="2"/>
        <w:spacing w:before="200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1.ICH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Q12.</w:t>
      </w:r>
      <w:r>
        <w:t>《</w:t>
      </w:r>
      <w:r>
        <w:rPr>
          <w:rFonts w:ascii="Times New Roman" w:hAnsi="Times New Roman" w:eastAsia="Times New Roman" w:cs="Times New Roman"/>
        </w:rPr>
        <w:t>Lifecycle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Management</w:t>
      </w:r>
      <w:r>
        <w:t>》</w:t>
      </w:r>
      <w:r>
        <w:rPr>
          <w:rFonts w:ascii="Times New Roman" w:hAnsi="Times New Roman" w:eastAsia="Times New Roman" w:cs="Times New Roman"/>
        </w:rPr>
        <w:t>.2019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年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月</w:t>
      </w:r>
    </w:p>
    <w:p w14:paraId="2CB40B84">
      <w:pPr>
        <w:pStyle w:val="2"/>
        <w:spacing w:line="338" w:lineRule="auto"/>
        <w:ind w:right="109" w:firstLine="638"/>
        <w:jc w:val="both"/>
      </w:pPr>
      <w:r>
        <w:rPr>
          <w:rFonts w:ascii="Times New Roman" w:hAnsi="Times New Roman" w:eastAsia="Times New Roman" w:cs="Times New Roman"/>
        </w:rPr>
        <w:t>2.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3"/>
        </w:rPr>
        <w:t>国家药品监督管理局药品审评中心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《已上市化学药</w:t>
      </w:r>
      <w:r>
        <w:rPr>
          <w:spacing w:val="4"/>
          <w:w w:val="100"/>
        </w:rPr>
        <w:t xml:space="preserve"> </w:t>
      </w:r>
      <w:r>
        <w:rPr>
          <w:spacing w:val="-9"/>
        </w:rPr>
        <w:t>品药学变更研究技术指导原则（试行）》</w:t>
      </w:r>
      <w:r>
        <w:rPr>
          <w:rFonts w:ascii="Times New Roman" w:hAnsi="Times New Roman" w:eastAsia="Times New Roman" w:cs="Times New Roman"/>
          <w:spacing w:val="-9"/>
        </w:rPr>
        <w:t xml:space="preserve">.2021 </w:t>
      </w:r>
      <w:r>
        <w:t xml:space="preserve">年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t>月</w:t>
      </w:r>
    </w:p>
    <w:p w14:paraId="5702F4D4">
      <w:pPr>
        <w:pStyle w:val="5"/>
        <w:numPr>
          <w:ilvl w:val="0"/>
          <w:numId w:val="1"/>
        </w:numPr>
        <w:tabs>
          <w:tab w:val="left" w:pos="1004"/>
        </w:tabs>
        <w:spacing w:before="35" w:after="0" w:line="345" w:lineRule="auto"/>
        <w:ind w:left="120" w:right="116" w:firstLine="63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FDA. </w:t>
      </w:r>
      <w:r>
        <w:rPr>
          <w:rFonts w:ascii="宋体" w:hAnsi="宋体" w:eastAsia="宋体" w:cs="宋体"/>
          <w:sz w:val="32"/>
          <w:szCs w:val="32"/>
        </w:rPr>
        <w:t xml:space="preserve">《 </w:t>
      </w:r>
      <w:r>
        <w:rPr>
          <w:rFonts w:ascii="Times New Roman" w:hAnsi="Times New Roman" w:eastAsia="Times New Roman" w:cs="Times New Roman"/>
          <w:sz w:val="32"/>
          <w:szCs w:val="32"/>
        </w:rPr>
        <w:t>Comparability Protocols for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Postapproval</w:t>
      </w:r>
      <w:r>
        <w:rPr>
          <w:rFonts w:ascii="Times New Roman" w:hAnsi="Times New Roman" w:eastAsia="Times New Roman" w:cs="Times New Roman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Changes to the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Chemistry,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Manufacturing,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and</w:t>
      </w:r>
      <w:r>
        <w:rPr>
          <w:rFonts w:ascii="Times New Roman" w:hAnsi="Times New Roman" w:eastAsia="Times New Roman" w:cs="Times New Roman"/>
          <w:spacing w:val="5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Controls</w:t>
      </w:r>
      <w:r>
        <w:rPr>
          <w:rFonts w:ascii="Times New Roman" w:hAnsi="Times New Roman" w:eastAsia="Times New Roman" w:cs="Times New Roman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Information in an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 xml:space="preserve">NDA,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ANDA, or BLA </w:t>
      </w:r>
      <w:r>
        <w:rPr>
          <w:rFonts w:ascii="宋体" w:hAnsi="宋体" w:eastAsia="宋体" w:cs="宋体"/>
          <w:sz w:val="32"/>
          <w:szCs w:val="32"/>
        </w:rPr>
        <w:t>》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.2022 </w:t>
      </w:r>
      <w:r>
        <w:rPr>
          <w:rFonts w:ascii="宋体" w:hAnsi="宋体" w:eastAsia="宋体" w:cs="宋体"/>
          <w:sz w:val="32"/>
          <w:szCs w:val="32"/>
        </w:rPr>
        <w:t xml:space="preserve">年 </w:t>
      </w:r>
      <w:r>
        <w:rPr>
          <w:rFonts w:ascii="Times New Roman" w:hAnsi="Times New Roman" w:eastAsia="Times New Roman" w:cs="Times New Roman"/>
          <w:sz w:val="32"/>
          <w:szCs w:val="32"/>
        </w:rPr>
        <w:t>10</w:t>
      </w:r>
      <w:r>
        <w:rPr>
          <w:rFonts w:ascii="Times New Roman" w:hAnsi="Times New Roman" w:eastAsia="Times New Roman" w:cs="Times New Roman"/>
          <w:spacing w:val="-26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月</w:t>
      </w:r>
    </w:p>
    <w:p w14:paraId="5773324F">
      <w:pPr>
        <w:pStyle w:val="5"/>
        <w:numPr>
          <w:ilvl w:val="0"/>
          <w:numId w:val="1"/>
        </w:numPr>
        <w:tabs>
          <w:tab w:val="left" w:pos="1004"/>
        </w:tabs>
        <w:spacing w:before="25" w:after="0" w:line="338" w:lineRule="auto"/>
        <w:ind w:left="120" w:right="304" w:firstLine="639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EMA.</w:t>
      </w:r>
      <w:r>
        <w:rPr>
          <w:rFonts w:ascii="宋体" w:hAnsi="宋体" w:eastAsia="宋体" w:cs="宋体"/>
          <w:sz w:val="32"/>
          <w:szCs w:val="32"/>
        </w:rPr>
        <w:t>《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Questions and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 xml:space="preserve">answers </w:t>
      </w:r>
      <w:r>
        <w:rPr>
          <w:rFonts w:ascii="Times New Roman" w:hAnsi="Times New Roman" w:eastAsia="Times New Roman" w:cs="Times New Roman"/>
          <w:sz w:val="32"/>
          <w:szCs w:val="32"/>
        </w:rPr>
        <w:t>on post approval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change</w:t>
      </w:r>
      <w:r>
        <w:rPr>
          <w:rFonts w:ascii="Times New Roman" w:hAnsi="Times New Roman" w:eastAsia="Times New Roman" w:cs="Times New Roman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management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protocols</w:t>
      </w:r>
      <w:r>
        <w:rPr>
          <w:rFonts w:ascii="宋体" w:hAnsi="宋体" w:eastAsia="宋体" w:cs="宋体"/>
          <w:sz w:val="32"/>
          <w:szCs w:val="32"/>
        </w:rPr>
        <w:t>》</w:t>
      </w:r>
      <w:r>
        <w:rPr>
          <w:rFonts w:ascii="Times New Roman" w:hAnsi="Times New Roman" w:eastAsia="Times New Roman" w:cs="Times New Roman"/>
          <w:sz w:val="32"/>
          <w:szCs w:val="32"/>
        </w:rPr>
        <w:t>.2012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ascii="宋体" w:hAnsi="宋体" w:eastAsia="宋体" w:cs="宋体"/>
          <w:spacing w:val="-8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4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月</w:t>
      </w:r>
    </w:p>
    <w:p w14:paraId="7CA6BF78">
      <w:pPr>
        <w:pStyle w:val="5"/>
        <w:numPr>
          <w:ilvl w:val="0"/>
          <w:numId w:val="1"/>
        </w:numPr>
        <w:tabs>
          <w:tab w:val="left" w:pos="1004"/>
        </w:tabs>
        <w:spacing w:before="31" w:after="0" w:line="338" w:lineRule="auto"/>
        <w:ind w:left="759" w:right="111" w:firstLine="0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ICH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Q8.</w:t>
      </w:r>
      <w:r>
        <w:rPr>
          <w:rFonts w:ascii="宋体" w:hAnsi="宋体" w:eastAsia="宋体" w:cs="宋体"/>
          <w:sz w:val="32"/>
          <w:szCs w:val="32"/>
        </w:rPr>
        <w:t>《</w:t>
      </w:r>
      <w:r>
        <w:rPr>
          <w:rFonts w:ascii="Times New Roman" w:hAnsi="Times New Roman" w:eastAsia="Times New Roman" w:cs="Times New Roman"/>
          <w:sz w:val="32"/>
          <w:szCs w:val="32"/>
        </w:rPr>
        <w:t>Pharmaceutical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Development</w:t>
      </w:r>
      <w:r>
        <w:rPr>
          <w:rFonts w:ascii="宋体" w:hAnsi="宋体" w:eastAsia="宋体" w:cs="宋体"/>
          <w:sz w:val="32"/>
          <w:szCs w:val="32"/>
        </w:rPr>
        <w:t>》</w:t>
      </w:r>
      <w:r>
        <w:rPr>
          <w:rFonts w:ascii="Times New Roman" w:hAnsi="Times New Roman" w:eastAsia="Times New Roman" w:cs="Times New Roman"/>
          <w:sz w:val="32"/>
          <w:szCs w:val="32"/>
        </w:rPr>
        <w:t>.2009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ascii="宋体" w:hAnsi="宋体" w:eastAsia="宋体" w:cs="宋体"/>
          <w:spacing w:val="-8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ascii="宋体" w:hAnsi="宋体" w:eastAsia="宋体" w:cs="宋体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6.ICH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Q9.</w:t>
      </w:r>
      <w:r>
        <w:rPr>
          <w:rFonts w:ascii="宋体" w:hAnsi="宋体" w:eastAsia="宋体" w:cs="宋体"/>
          <w:sz w:val="32"/>
          <w:szCs w:val="32"/>
        </w:rPr>
        <w:t>《</w:t>
      </w:r>
      <w:r>
        <w:rPr>
          <w:rFonts w:ascii="Times New Roman" w:hAnsi="Times New Roman" w:eastAsia="Times New Roman" w:cs="Times New Roman"/>
          <w:sz w:val="32"/>
          <w:szCs w:val="32"/>
        </w:rPr>
        <w:t>Quality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Risk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Management</w:t>
      </w:r>
      <w:r>
        <w:rPr>
          <w:rFonts w:ascii="宋体" w:hAnsi="宋体" w:eastAsia="宋体" w:cs="宋体"/>
          <w:sz w:val="32"/>
          <w:szCs w:val="32"/>
        </w:rPr>
        <w:t>》</w:t>
      </w:r>
      <w:r>
        <w:rPr>
          <w:rFonts w:ascii="Times New Roman" w:hAnsi="Times New Roman" w:eastAsia="Times New Roman" w:cs="Times New Roman"/>
          <w:sz w:val="32"/>
          <w:szCs w:val="32"/>
        </w:rPr>
        <w:t>.2023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ascii="宋体" w:hAnsi="宋体" w:eastAsia="宋体" w:cs="宋体"/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ascii="宋体" w:hAnsi="宋体" w:eastAsia="宋体" w:cs="宋体"/>
          <w:w w:val="1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7.ICH Q10.</w:t>
      </w:r>
      <w:r>
        <w:rPr>
          <w:rFonts w:ascii="宋体" w:hAnsi="宋体" w:eastAsia="宋体" w:cs="宋体"/>
          <w:sz w:val="32"/>
          <w:szCs w:val="32"/>
        </w:rPr>
        <w:t>《</w:t>
      </w:r>
      <w:r>
        <w:rPr>
          <w:rFonts w:ascii="Times New Roman" w:hAnsi="Times New Roman" w:eastAsia="Times New Roman" w:cs="Times New Roman"/>
          <w:sz w:val="32"/>
          <w:szCs w:val="32"/>
        </w:rPr>
        <w:t>Pharmaceutical Quality System</w:t>
      </w:r>
      <w:r>
        <w:rPr>
          <w:rFonts w:ascii="宋体" w:hAnsi="宋体" w:eastAsia="宋体" w:cs="宋体"/>
          <w:sz w:val="32"/>
          <w:szCs w:val="32"/>
        </w:rPr>
        <w:t>》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.2008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ascii="宋体" w:hAnsi="宋体" w:eastAsia="宋体" w:cs="宋体"/>
          <w:spacing w:val="3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6</w:t>
      </w:r>
    </w:p>
    <w:p w14:paraId="7111FF0E">
      <w:pPr>
        <w:pStyle w:val="2"/>
        <w:spacing w:before="31" w:line="240" w:lineRule="auto"/>
        <w:ind w:right="0"/>
        <w:jc w:val="left"/>
      </w:pPr>
      <w:r>
        <w:rPr>
          <w:w w:val="100"/>
        </w:rPr>
        <w:t>月</w:t>
      </w:r>
    </w:p>
    <w:p w14:paraId="3EA6F2BC">
      <w:pPr>
        <w:pStyle w:val="2"/>
        <w:tabs>
          <w:tab w:val="left" w:pos="1751"/>
          <w:tab w:val="left" w:pos="4795"/>
          <w:tab w:val="left" w:pos="7298"/>
          <w:tab w:val="left" w:pos="7769"/>
        </w:tabs>
        <w:spacing w:before="205" w:line="240" w:lineRule="auto"/>
        <w:ind w:left="759" w:right="0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8.ICH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4"/>
        </w:rPr>
        <w:t>Q11.</w:t>
      </w:r>
      <w:r>
        <w:rPr>
          <w:rFonts w:ascii="Times New Roman" w:hAnsi="Times New Roman" w:eastAsia="Times New Roman" w:cs="Times New Roman"/>
        </w:rPr>
        <w:t xml:space="preserve"> </w:t>
      </w:r>
      <w:r>
        <w:t>《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Development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and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Manufacture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>of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2"/>
        </w:rPr>
        <w:t>Drug</w:t>
      </w:r>
    </w:p>
    <w:p w14:paraId="7F8E321E">
      <w:pPr>
        <w:spacing w:before="6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78A3AF16">
      <w:pPr>
        <w:pStyle w:val="2"/>
        <w:spacing w:before="2" w:line="240" w:lineRule="auto"/>
        <w:ind w:right="0"/>
        <w:jc w:val="left"/>
      </w:pPr>
      <w:r>
        <w:rPr>
          <w:rFonts w:ascii="Times New Roman" w:hAnsi="Times New Roman" w:eastAsia="Times New Roman" w:cs="Times New Roman"/>
        </w:rPr>
        <w:t>Substances</w:t>
      </w:r>
      <w:r>
        <w:t>》</w:t>
      </w:r>
      <w:r>
        <w:rPr>
          <w:rFonts w:ascii="Times New Roman" w:hAnsi="Times New Roman" w:eastAsia="Times New Roman" w:cs="Times New Roman"/>
        </w:rPr>
        <w:t>.2012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t>年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t>月</w:t>
      </w:r>
    </w:p>
    <w:p w14:paraId="79A36634">
      <w:bookmarkStart w:id="15" w:name="_GoBack"/>
      <w:bookmarkEnd w:id="15"/>
    </w:p>
    <w:sectPr>
      <w:pgSz w:w="11910" w:h="16840"/>
      <w:pgMar w:top="1380" w:right="1680" w:bottom="1380" w:left="1680" w:header="0" w:footer="11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8E829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9799955</wp:posOffset>
              </wp:positionV>
              <wp:extent cx="167005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68E90">
                          <w:pPr>
                            <w:spacing w:before="0" w:line="206" w:lineRule="exact"/>
                            <w:ind w:left="4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5pt;margin-top:771.65pt;height:11.15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RAqMadoAAAAN&#10;AQAADwAAAGRycy9kb3ducmV2LnhtbE2PzU7DMBCE70i8g7VI3KjdllghxKkQghMSIg0Hjk7sJlbj&#10;dYjdH96e7Qluuzuj2W/KzdmP7Gjn6AIqWC4EMItdMA57BZ/N610OLCaNRo8BrYIfG2FTXV+VujDh&#10;hLU9blPPKARjoRUMKU0F57EbrNdxESaLpO3C7HWide65mfWJwv3IV0JI7rVD+jDoyT4PtttvD17B&#10;0xfWL+77vf2od7VrmgeBb3Kv1O3NUjwCS/ac/sxwwSd0qIipDQc0kY0Ksny1JisJ2f2aJrJIkUtg&#10;7eUkMwm8Kvn/FtUvUEsDBBQAAAAIAIdO4kBvBzzguAEAAHEDAAAOAAAAZHJzL2Uyb0RvYy54bWyt&#10;U0uOEzEQ3SNxB8t74k4EAbXSGQlFMxoJAdIwB3DcdtqSfyo76c4F4Aas2LDnXDkHZXc682EzCzbu&#10;clX5Vb1X1aurwRpykBC1dw2dzypKpBO+1W7X0Ptv128+UBITdy033smGHmWkV+vXr1Z9qOXCd960&#10;EgiCuFj3oaFdSqFmLIpOWh5nPkiHQeXB8oRX2LEWeI/o1rBFVS1Z76EN4IWMEb2bMUjPiPASQK+U&#10;FnLjxd5Kl0ZUkIYnpBQ7HSJdl26VkiJ9USrKRExDkWkqJxZBe5tPtl7xegc8dFqcW+AvaeEZJ8u1&#10;w6IXqA1PnOxB/wNltQAfvUoz4S0biRRFkMW8eqbNXceDLFxQ6hguosf/Bys+H74C0W1DF5Q4bnHg&#10;p58/Tr/+nH5/J4ssTx9ijVl3AfPS8NEPuDSTP6Izsx4U2PxFPgTjKO7xIq4cEhH50fJ9Vb2jRGBo&#10;/na+RBvR2cPjADHdSG9JNhoKOLsiKT98imlMnVJyLeevtTFlfsY9cSBm9rDc+dhhttKwHc50tr49&#10;Ihtz61DJvBWTAZOxnYx9AL3rsJ3CuUDiJErf563Jo358L4Uf/pT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QKjGnaAAAADQEAAA8AAAAAAAAAAQAgAAAAIgAAAGRycy9kb3ducmV2LnhtbFBLAQIU&#10;ABQAAAAIAIdO4kBvBzzguAEAAHEDAAAOAAAAAAAAAAEAIAAAACkBAABkcnMvZTJvRG9jLnhtbFBL&#10;BQYAAAAABgAGAFkBAABT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DB68E90">
                    <w:pPr>
                      <w:spacing w:before="0" w:line="206" w:lineRule="exact"/>
                      <w:ind w:left="40" w:right="0" w:firstLine="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decimal"/>
      <w:lvlText w:val="%1."/>
      <w:lvlJc w:val="left"/>
      <w:pPr>
        <w:ind w:left="120" w:hanging="245"/>
        <w:jc w:val="left"/>
      </w:pPr>
      <w:rPr>
        <w:rFonts w:hint="default" w:ascii="Times New Roman" w:hAnsi="Times New Roman" w:eastAsia="Times New Roman"/>
        <w:spacing w:val="1"/>
        <w:w w:val="100"/>
        <w:sz w:val="32"/>
        <w:szCs w:val="32"/>
      </w:rPr>
    </w:lvl>
    <w:lvl w:ilvl="1" w:tentative="0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804" w:hanging="245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647" w:hanging="245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489" w:hanging="245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332" w:hanging="245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174" w:hanging="245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016" w:hanging="245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6859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4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20"/>
    </w:pPr>
    <w:rPr>
      <w:rFonts w:ascii="宋体" w:hAnsi="宋体" w:eastAsia="宋体"/>
      <w:sz w:val="32"/>
      <w:szCs w:val="32"/>
    </w:rPr>
  </w:style>
  <w:style w:type="paragraph" w:styleId="5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2025-11-21T01:45:54Z</dcterms:created>
  <dc:creator>杭州泓友</dc:creator>
  <cp:lastModifiedBy>WPS_1715310677</cp:lastModifiedBy>
  <dcterms:modified xsi:type="dcterms:W3CDTF">2025-11-21T01:46:13Z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eyJoZGlkIjoiMjBkNDcwYWRmZGNjNzI3MWUwMGRkYzlhNjdmZjllYTkiLCJ1c2VySWQiOiIxNTk4Mzk4NzA0In0=</vt:lpwstr>
  </property>
  <property fmtid="{D5CDD505-2E9C-101B-9397-08002B2CF9AE}" pid="4" name="ICV">
    <vt:lpwstr>2F58E67B53E842848E81C4B409E1B549_12</vt:lpwstr>
  </property>
</Properties>
</file>