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29BA">
      <w:pPr>
        <w:pStyle w:val="2"/>
        <w:spacing w:before="0" w:line="409" w:lineRule="exact"/>
        <w:ind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附件</w:t>
      </w:r>
      <w:r>
        <w:rPr>
          <w:rFonts w:ascii="宋体" w:hAnsi="宋体" w:eastAsia="宋体" w:cs="宋体"/>
          <w:spacing w:val="-75"/>
        </w:rPr>
        <w:t xml:space="preserve"> </w:t>
      </w:r>
      <w:r>
        <w:rPr>
          <w:rFonts w:ascii="宋体" w:hAnsi="宋体" w:eastAsia="宋体" w:cs="宋体"/>
        </w:rPr>
        <w:t>2</w:t>
      </w:r>
    </w:p>
    <w:p w14:paraId="71EB53A5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567D97C6">
      <w:pPr>
        <w:spacing w:before="12" w:line="240" w:lineRule="auto"/>
        <w:rPr>
          <w:rFonts w:ascii="宋体" w:hAnsi="宋体" w:eastAsia="宋体" w:cs="宋体"/>
          <w:sz w:val="19"/>
          <w:szCs w:val="19"/>
        </w:rPr>
      </w:pPr>
    </w:p>
    <w:p w14:paraId="265AD449">
      <w:pPr>
        <w:spacing w:line="412" w:lineRule="exact"/>
        <w:ind w:left="221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7"/>
          <w:sz w:val="20"/>
          <w:szCs w:val="20"/>
        </w:rPr>
        <w:drawing>
          <wp:inline distT="0" distB="0" distL="0" distR="0">
            <wp:extent cx="5367655" cy="261620"/>
            <wp:effectExtent l="0" t="0" r="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782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9F075">
      <w:pPr>
        <w:spacing w:before="8" w:line="240" w:lineRule="auto"/>
        <w:rPr>
          <w:rFonts w:ascii="宋体" w:hAnsi="宋体" w:eastAsia="宋体" w:cs="宋体"/>
          <w:sz w:val="9"/>
          <w:szCs w:val="9"/>
        </w:rPr>
      </w:pPr>
    </w:p>
    <w:p w14:paraId="1ECA02B6">
      <w:pPr>
        <w:spacing w:line="412" w:lineRule="exact"/>
        <w:ind w:left="3102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7"/>
          <w:sz w:val="20"/>
          <w:szCs w:val="20"/>
        </w:rPr>
        <w:drawing>
          <wp:inline distT="0" distB="0" distL="0" distR="0">
            <wp:extent cx="1696720" cy="261620"/>
            <wp:effectExtent l="0" t="0" r="0" b="508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101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F68C4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19EA0C4">
      <w:pPr>
        <w:spacing w:before="5" w:line="240" w:lineRule="auto"/>
        <w:rPr>
          <w:rFonts w:ascii="宋体" w:hAnsi="宋体" w:eastAsia="宋体" w:cs="宋体"/>
          <w:sz w:val="28"/>
          <w:szCs w:val="28"/>
        </w:rPr>
      </w:pPr>
    </w:p>
    <w:p w14:paraId="3514BA4D">
      <w:pPr>
        <w:pStyle w:val="2"/>
        <w:spacing w:before="2" w:line="240" w:lineRule="auto"/>
        <w:ind w:left="759"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一、起草目的</w:t>
      </w:r>
    </w:p>
    <w:p w14:paraId="50A7471A">
      <w:pPr>
        <w:pStyle w:val="2"/>
        <w:spacing w:before="200" w:line="352" w:lineRule="auto"/>
        <w:ind w:right="0" w:firstLine="638"/>
        <w:jc w:val="left"/>
      </w:pPr>
      <w:r>
        <w:rPr>
          <w:spacing w:val="-3"/>
        </w:rPr>
        <w:t>《药品注册管理办法》第八十七条规定药审中心认为存</w:t>
      </w:r>
      <w:r>
        <w:rPr>
          <w:w w:val="100"/>
        </w:rPr>
        <w:t xml:space="preserve"> </w:t>
      </w:r>
      <w:r>
        <w:rPr>
          <w:spacing w:val="-3"/>
        </w:rPr>
        <w:t>在实质性缺陷无法补正的，不再要求申请人补充资料，基于</w:t>
      </w:r>
      <w:r>
        <w:rPr>
          <w:spacing w:val="-96"/>
        </w:rPr>
        <w:t xml:space="preserve"> </w:t>
      </w:r>
      <w:r>
        <w:rPr>
          <w:spacing w:val="-4"/>
        </w:rPr>
        <w:t>已有申报资料做出不予批准的决定。《国务院办公厅关于全</w:t>
      </w:r>
      <w:r>
        <w:rPr>
          <w:spacing w:val="-84"/>
        </w:rPr>
        <w:t xml:space="preserve"> </w:t>
      </w:r>
      <w:r>
        <w:rPr>
          <w:spacing w:val="9"/>
        </w:rPr>
        <w:t>面深化药品医疗器械监管改革促进医药产业高质量发展的</w:t>
      </w:r>
      <w:r>
        <w:rPr>
          <w:spacing w:val="-90"/>
        </w:rPr>
        <w:t xml:space="preserve"> </w:t>
      </w:r>
      <w:r>
        <w:rPr>
          <w:spacing w:val="-17"/>
        </w:rPr>
        <w:t>意见》（国办发〔</w:t>
      </w:r>
      <w:r>
        <w:rPr>
          <w:rFonts w:ascii="Times New Roman" w:hAnsi="Times New Roman" w:eastAsia="Times New Roman" w:cs="Times New Roman"/>
          <w:spacing w:val="-17"/>
        </w:rPr>
        <w:t>2024</w:t>
      </w:r>
      <w:r>
        <w:rPr>
          <w:spacing w:val="-17"/>
        </w:rPr>
        <w:t>〕</w:t>
      </w:r>
      <w:r>
        <w:rPr>
          <w:rFonts w:ascii="Times New Roman" w:hAnsi="Times New Roman" w:eastAsia="Times New Roman" w:cs="Times New Roman"/>
          <w:spacing w:val="-17"/>
        </w:rPr>
        <w:t>53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-4"/>
        </w:rPr>
        <w:t>号，以下简称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53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-5"/>
        </w:rPr>
        <w:t>号文）第十三条</w:t>
      </w:r>
      <w:r>
        <w:rPr>
          <w:spacing w:val="-125"/>
        </w:rPr>
        <w:t xml:space="preserve"> </w:t>
      </w:r>
      <w:r>
        <w:rPr>
          <w:spacing w:val="-3"/>
        </w:rPr>
        <w:t>提出促进仿制药质量提升、优化仿制药审评工作机制的要求。</w:t>
      </w:r>
    </w:p>
    <w:p w14:paraId="1F70A799">
      <w:pPr>
        <w:pStyle w:val="2"/>
        <w:spacing w:before="50" w:line="352" w:lineRule="auto"/>
        <w:ind w:right="432" w:firstLine="638"/>
        <w:jc w:val="both"/>
      </w:pPr>
      <w:r>
        <w:t xml:space="preserve">为落实 </w:t>
      </w:r>
      <w:r>
        <w:rPr>
          <w:rFonts w:ascii="Times New Roman" w:hAnsi="Times New Roman" w:eastAsia="Times New Roman" w:cs="Times New Roman"/>
        </w:rPr>
        <w:t>53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11"/>
        </w:rPr>
        <w:t>号文的要求，促进化学仿制药质量提升，指导</w:t>
      </w:r>
      <w:r>
        <w:rPr>
          <w:w w:val="100"/>
        </w:rPr>
        <w:t xml:space="preserve"> </w:t>
      </w:r>
      <w:r>
        <w:rPr>
          <w:spacing w:val="-3"/>
        </w:rPr>
        <w:t>企业研发，严格仿制药技术审评，提高审评效率，结合我国</w:t>
      </w:r>
      <w:r>
        <w:rPr>
          <w:spacing w:val="-96"/>
        </w:rPr>
        <w:t xml:space="preserve"> </w:t>
      </w:r>
      <w:r>
        <w:rPr>
          <w:spacing w:val="-3"/>
        </w:rPr>
        <w:t>现行技术要求，同时参考国际相关技术要求，制定了化学仿</w:t>
      </w:r>
      <w:r>
        <w:rPr>
          <w:spacing w:val="-96"/>
        </w:rPr>
        <w:t xml:space="preserve"> </w:t>
      </w:r>
      <w:r>
        <w:rPr>
          <w:spacing w:val="-3"/>
        </w:rPr>
        <w:t>制药药学研究的重大缺陷。药审中心在审评过程中发现有重</w:t>
      </w:r>
      <w:r>
        <w:rPr>
          <w:spacing w:val="-96"/>
        </w:rPr>
        <w:t xml:space="preserve"> </w:t>
      </w:r>
      <w:r>
        <w:rPr>
          <w:spacing w:val="-3"/>
        </w:rPr>
        <w:t>大缺陷的，不再要求申请人补充资料，基于已有申报资料做</w:t>
      </w:r>
      <w:r>
        <w:rPr>
          <w:spacing w:val="-96"/>
        </w:rPr>
        <w:t xml:space="preserve"> </w:t>
      </w:r>
      <w:r>
        <w:t>出不予批准的决定。</w:t>
      </w:r>
    </w:p>
    <w:p w14:paraId="4FEA1CF7">
      <w:pPr>
        <w:pStyle w:val="2"/>
        <w:spacing w:before="50" w:line="240" w:lineRule="auto"/>
        <w:ind w:left="759"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二、起草过程</w:t>
      </w:r>
    </w:p>
    <w:p w14:paraId="4488C78A">
      <w:pPr>
        <w:pStyle w:val="2"/>
        <w:spacing w:line="240" w:lineRule="auto"/>
        <w:ind w:left="759"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（一）起草前期调研论证情况</w:t>
      </w:r>
    </w:p>
    <w:p w14:paraId="654627A9">
      <w:pPr>
        <w:pStyle w:val="2"/>
        <w:spacing w:line="336" w:lineRule="auto"/>
        <w:ind w:right="273" w:firstLine="638"/>
        <w:jc w:val="both"/>
      </w:pPr>
      <w:r>
        <w:t>本文在起草前期，主要调研了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FDA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t>关于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ANDA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t>的重大</w:t>
      </w:r>
      <w:r>
        <w:rPr>
          <w:w w:val="100"/>
        </w:rPr>
        <w:t xml:space="preserve"> </w:t>
      </w:r>
      <w:r>
        <w:t xml:space="preserve">缺陷（因任一原因重新生产样品的、需要重新进行 </w:t>
      </w:r>
      <w:r>
        <w:rPr>
          <w:rFonts w:ascii="Times New Roman" w:hAnsi="Times New Roman" w:eastAsia="Times New Roman" w:cs="Times New Roman"/>
        </w:rPr>
        <w:t>BE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t>研究</w:t>
      </w:r>
      <w:r>
        <w:rPr>
          <w:w w:val="100"/>
        </w:rPr>
        <w:t xml:space="preserve"> </w:t>
      </w:r>
      <w:r>
        <w:rPr>
          <w:spacing w:val="2"/>
        </w:rPr>
        <w:t>的或需要重新建立分析方法的）以及我国现行的技术要求、</w:t>
      </w:r>
    </w:p>
    <w:p w14:paraId="40CF20B2">
      <w:pPr>
        <w:spacing w:after="0" w:line="336" w:lineRule="auto"/>
        <w:jc w:val="both"/>
        <w:sectPr>
          <w:footerReference r:id="rId5" w:type="default"/>
          <w:pgSz w:w="11910" w:h="16840"/>
          <w:pgMar w:top="1380" w:right="1360" w:bottom="1200" w:left="1680" w:header="720" w:footer="1007" w:gutter="0"/>
          <w:pgNumType w:start="1"/>
          <w:cols w:space="720" w:num="1"/>
        </w:sectPr>
      </w:pPr>
    </w:p>
    <w:p w14:paraId="527E9C70">
      <w:pPr>
        <w:pStyle w:val="2"/>
        <w:spacing w:before="0" w:line="357" w:lineRule="auto"/>
        <w:ind w:right="112"/>
        <w:jc w:val="both"/>
      </w:pPr>
      <w:r>
        <w:rPr>
          <w:spacing w:val="-3"/>
        </w:rPr>
        <w:t>指导原则、既往不批准案例、国际通行技术要求等，参考上</w:t>
      </w:r>
      <w:r>
        <w:rPr>
          <w:spacing w:val="-96"/>
        </w:rPr>
        <w:t xml:space="preserve"> </w:t>
      </w:r>
      <w:r>
        <w:rPr>
          <w:spacing w:val="-3"/>
        </w:rPr>
        <w:t>述内容，在充分考虑了我国仿制药研究现状的基础上制定了</w:t>
      </w:r>
      <w:r>
        <w:rPr>
          <w:spacing w:val="-96"/>
        </w:rPr>
        <w:t xml:space="preserve"> </w:t>
      </w:r>
      <w:r>
        <w:t>化学仿制药药学研究重大缺陷。</w:t>
      </w:r>
    </w:p>
    <w:p w14:paraId="1876DF07">
      <w:pPr>
        <w:pStyle w:val="2"/>
        <w:spacing w:before="48" w:line="240" w:lineRule="auto"/>
        <w:ind w:left="759"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（二）制定或修订情况</w:t>
      </w:r>
    </w:p>
    <w:p w14:paraId="09BC2713">
      <w:pPr>
        <w:pStyle w:val="2"/>
        <w:spacing w:line="336" w:lineRule="auto"/>
        <w:ind w:right="108" w:firstLine="638"/>
        <w:jc w:val="both"/>
      </w:pPr>
      <w:r>
        <w:t xml:space="preserve">本文于 </w:t>
      </w:r>
      <w:r>
        <w:rPr>
          <w:rFonts w:ascii="Times New Roman" w:hAnsi="Times New Roman" w:eastAsia="Times New Roman" w:cs="Times New Roman"/>
        </w:rPr>
        <w:t xml:space="preserve">2024 </w:t>
      </w:r>
      <w:r>
        <w:t xml:space="preserve">年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月完成初稿，经化药药学一部和化药</w:t>
      </w:r>
      <w:r>
        <w:rPr>
          <w:w w:val="100"/>
        </w:rPr>
        <w:t xml:space="preserve"> </w:t>
      </w:r>
      <w:r>
        <w:rPr>
          <w:spacing w:val="-5"/>
        </w:rPr>
        <w:t>药学二部多次部门技委会审核修订形成征求意见稿，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t>年</w:t>
      </w:r>
      <w:r>
        <w:rPr>
          <w:spacing w:val="-154"/>
        </w:rPr>
        <w:t xml:space="preserve"> 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t>月底报局审核。</w:t>
      </w:r>
    </w:p>
    <w:p w14:paraId="4E667BFD">
      <w:pPr>
        <w:pStyle w:val="2"/>
        <w:spacing w:before="40" w:line="240" w:lineRule="auto"/>
        <w:ind w:left="759"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三、起草思路</w:t>
      </w:r>
    </w:p>
    <w:p w14:paraId="22BD32C6">
      <w:pPr>
        <w:pStyle w:val="2"/>
        <w:spacing w:line="357" w:lineRule="auto"/>
        <w:ind w:right="112" w:firstLine="638"/>
        <w:jc w:val="both"/>
      </w:pPr>
      <w:r>
        <w:rPr>
          <w:spacing w:val="-3"/>
        </w:rPr>
        <w:t>本文起草的总体思路是促进仿制药质量提升，指导企业</w:t>
      </w:r>
      <w:r>
        <w:rPr>
          <w:w w:val="100"/>
        </w:rPr>
        <w:t xml:space="preserve"> </w:t>
      </w:r>
      <w:r>
        <w:rPr>
          <w:spacing w:val="-3"/>
        </w:rPr>
        <w:t>研发，严格仿制药技术审评，提高审评效率，对于重大缺陷</w:t>
      </w:r>
      <w:r>
        <w:rPr>
          <w:spacing w:val="-96"/>
        </w:rPr>
        <w:t xml:space="preserve"> </w:t>
      </w:r>
      <w:r>
        <w:rPr>
          <w:spacing w:val="-3"/>
        </w:rPr>
        <w:t>不再要求申请人补充资料，基于已有申报资料做出不予批准</w:t>
      </w:r>
      <w:r>
        <w:rPr>
          <w:spacing w:val="-96"/>
        </w:rPr>
        <w:t xml:space="preserve"> </w:t>
      </w:r>
      <w:r>
        <w:t>的决定。</w:t>
      </w:r>
    </w:p>
    <w:p w14:paraId="44113310">
      <w:pPr>
        <w:pStyle w:val="2"/>
        <w:spacing w:before="44" w:line="240" w:lineRule="auto"/>
        <w:ind w:left="759"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四、主要内容</w:t>
      </w:r>
    </w:p>
    <w:p w14:paraId="4742F95C">
      <w:pPr>
        <w:pStyle w:val="2"/>
        <w:spacing w:line="357" w:lineRule="auto"/>
        <w:ind w:right="110" w:firstLine="638"/>
        <w:jc w:val="both"/>
      </w:pPr>
      <w:r>
        <w:rPr>
          <w:spacing w:val="10"/>
        </w:rPr>
        <w:t>本重大缺陷明确了适用范围为化学仿制药及相关原料</w:t>
      </w:r>
      <w:r>
        <w:rPr>
          <w:w w:val="100"/>
        </w:rPr>
        <w:t xml:space="preserve"> </w:t>
      </w:r>
      <w:r>
        <w:rPr>
          <w:spacing w:val="-3"/>
        </w:rPr>
        <w:t>药的上市许可申请、一致性评价申请和补充申请，分别针对</w:t>
      </w:r>
      <w:r>
        <w:rPr>
          <w:spacing w:val="-96"/>
        </w:rPr>
        <w:t xml:space="preserve"> </w:t>
      </w:r>
      <w:r>
        <w:rPr>
          <w:spacing w:val="-3"/>
        </w:rPr>
        <w:t>原料药和制剂制定了相应的药学研究重大缺陷，包括核查检</w:t>
      </w:r>
      <w:r>
        <w:rPr>
          <w:spacing w:val="-96"/>
        </w:rPr>
        <w:t xml:space="preserve"> </w:t>
      </w:r>
      <w:r>
        <w:rPr>
          <w:spacing w:val="-3"/>
        </w:rPr>
        <w:t>验结果不符合规定、申报资料不完整或共用研究数据、参比</w:t>
      </w:r>
      <w:r>
        <w:rPr>
          <w:spacing w:val="-96"/>
        </w:rPr>
        <w:t xml:space="preserve"> </w:t>
      </w:r>
      <w:r>
        <w:rPr>
          <w:spacing w:val="-3"/>
        </w:rPr>
        <w:t>制剂选择不符合要求、审评期间发生药学变更需要重新生产</w:t>
      </w:r>
      <w:r>
        <w:rPr>
          <w:spacing w:val="-96"/>
        </w:rPr>
        <w:t xml:space="preserve"> </w:t>
      </w:r>
      <w:r>
        <w:rPr>
          <w:spacing w:val="-3"/>
        </w:rPr>
        <w:t>样品及重新进行稳定性考察的、原辅包未通过审评审批或者</w:t>
      </w:r>
      <w:r>
        <w:rPr>
          <w:spacing w:val="-96"/>
        </w:rPr>
        <w:t xml:space="preserve"> </w:t>
      </w:r>
      <w:r>
        <w:rPr>
          <w:spacing w:val="-3"/>
        </w:rPr>
        <w:t>质量、来源不符合要求的、处方工艺研究存在缺陷需要重新</w:t>
      </w:r>
      <w:r>
        <w:rPr>
          <w:spacing w:val="-96"/>
        </w:rPr>
        <w:t xml:space="preserve"> </w:t>
      </w:r>
      <w:r>
        <w:rPr>
          <w:spacing w:val="-3"/>
        </w:rPr>
        <w:t>生产样品及重新进行稳定性考察的、结构确证错误、质量研</w:t>
      </w:r>
      <w:r>
        <w:rPr>
          <w:spacing w:val="-96"/>
        </w:rPr>
        <w:t xml:space="preserve"> </w:t>
      </w:r>
      <w:r>
        <w:rPr>
          <w:spacing w:val="-3"/>
        </w:rPr>
        <w:t>究及稳定性研究存在较大缺陷（如未对主要质控项目进行研</w:t>
      </w:r>
    </w:p>
    <w:p w14:paraId="6DC3534D">
      <w:pPr>
        <w:spacing w:after="0" w:line="357" w:lineRule="auto"/>
        <w:jc w:val="both"/>
        <w:sectPr>
          <w:pgSz w:w="11910" w:h="16840"/>
          <w:pgMar w:top="1380" w:right="1680" w:bottom="1200" w:left="1680" w:header="0" w:footer="1007" w:gutter="0"/>
          <w:cols w:space="720" w:num="1"/>
        </w:sectPr>
      </w:pPr>
    </w:p>
    <w:p w14:paraId="2E46695B">
      <w:pPr>
        <w:pStyle w:val="2"/>
        <w:spacing w:before="0" w:line="357" w:lineRule="auto"/>
        <w:ind w:right="0"/>
        <w:jc w:val="left"/>
      </w:pPr>
      <w:r>
        <w:rPr>
          <w:spacing w:val="-3"/>
        </w:rPr>
        <w:t>究、杂质含量不可接受、药品质量低于已上市同品种等）等</w:t>
      </w:r>
      <w:r>
        <w:rPr>
          <w:spacing w:val="-96"/>
        </w:rPr>
        <w:t xml:space="preserve"> </w:t>
      </w:r>
      <w:r>
        <w:t>多种情形。</w:t>
      </w:r>
    </w:p>
    <w:p w14:paraId="2055E942">
      <w:pPr>
        <w:pStyle w:val="2"/>
        <w:spacing w:before="44" w:line="240" w:lineRule="auto"/>
        <w:ind w:left="759" w:right="0"/>
        <w:jc w:val="left"/>
      </w:pPr>
      <w:r>
        <w:t>具体说明如下：</w:t>
      </w:r>
    </w:p>
    <w:p w14:paraId="2C4934ED">
      <w:pPr>
        <w:pStyle w:val="2"/>
        <w:spacing w:line="350" w:lineRule="auto"/>
        <w:ind w:right="0" w:firstLine="638"/>
        <w:jc w:val="left"/>
      </w:pPr>
      <w:r>
        <w:rPr>
          <w:rFonts w:ascii="Times New Roman" w:hAnsi="Times New Roman" w:eastAsia="Times New Roman" w:cs="Times New Roman"/>
        </w:rPr>
        <w:t>1.</w:t>
      </w:r>
      <w:r>
        <w:t xml:space="preserve">起始原料选择不符合 </w:t>
      </w:r>
      <w:r>
        <w:rPr>
          <w:rFonts w:ascii="Times New Roman" w:hAnsi="Times New Roman" w:eastAsia="Times New Roman" w:cs="Times New Roman"/>
          <w:spacing w:val="-4"/>
        </w:rPr>
        <w:t>ICH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Q11</w:t>
      </w:r>
      <w:r>
        <w:t>，需要重新选择起始原</w:t>
      </w:r>
      <w:r>
        <w:rPr>
          <w:w w:val="100"/>
        </w:rPr>
        <w:t xml:space="preserve"> </w:t>
      </w:r>
      <w:r>
        <w:rPr>
          <w:spacing w:val="-9"/>
        </w:rPr>
        <w:t>料的。因需要重新进行工艺研究和工艺验证、重新生产样品、</w:t>
      </w:r>
      <w:r>
        <w:rPr>
          <w:spacing w:val="-93"/>
        </w:rPr>
        <w:t xml:space="preserve"> </w:t>
      </w:r>
      <w:r>
        <w:rPr>
          <w:spacing w:val="-3"/>
        </w:rPr>
        <w:t>重新进行稳定性考察，较难在发补期限内研究完善，存在一</w:t>
      </w:r>
      <w:r>
        <w:rPr>
          <w:spacing w:val="-96"/>
        </w:rPr>
        <w:t xml:space="preserve"> </w:t>
      </w:r>
      <w:r>
        <w:t>定的质量风险，建议纳入重大缺陷。</w:t>
      </w:r>
    </w:p>
    <w:p w14:paraId="14C2B59E">
      <w:pPr>
        <w:pStyle w:val="2"/>
        <w:spacing w:before="58" w:line="345" w:lineRule="auto"/>
        <w:ind w:right="430" w:firstLine="638"/>
        <w:jc w:val="both"/>
      </w:pPr>
      <w:r>
        <w:rPr>
          <w:rFonts w:ascii="Times New Roman" w:hAnsi="Times New Roman" w:eastAsia="Times New Roman" w:cs="Times New Roman"/>
        </w:rPr>
        <w:t>2.</w:t>
      </w:r>
      <w:r>
        <w:t xml:space="preserve">采用多个亚批（如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t>批以上）混合生产一个批次又无</w:t>
      </w:r>
      <w:r>
        <w:rPr>
          <w:w w:val="100"/>
        </w:rPr>
        <w:t xml:space="preserve"> </w:t>
      </w:r>
      <w:r>
        <w:rPr>
          <w:spacing w:val="-3"/>
        </w:rPr>
        <w:t>合理理由的，可能存在设备不匹配或质量风险等问题，建议</w:t>
      </w:r>
      <w:r>
        <w:rPr>
          <w:spacing w:val="-96"/>
        </w:rPr>
        <w:t xml:space="preserve"> </w:t>
      </w:r>
      <w:r>
        <w:t>纳入重大缺陷。</w:t>
      </w:r>
    </w:p>
    <w:p w14:paraId="34AD3564">
      <w:pPr>
        <w:pStyle w:val="2"/>
        <w:spacing w:before="64" w:line="352" w:lineRule="auto"/>
        <w:ind w:right="432" w:firstLine="638"/>
        <w:jc w:val="both"/>
      </w:pPr>
      <w:r>
        <w:rPr>
          <w:rFonts w:ascii="Times New Roman" w:hAnsi="Times New Roman" w:eastAsia="Times New Roman" w:cs="Times New Roman"/>
        </w:rPr>
        <w:t>3.</w:t>
      </w:r>
      <w:r>
        <w:t>提交申报资料不完整，如仅提供公开资料未提供保密</w:t>
      </w:r>
      <w:r>
        <w:rPr>
          <w:w w:val="100"/>
        </w:rPr>
        <w:t xml:space="preserve"> </w:t>
      </w:r>
      <w:r>
        <w:rPr>
          <w:spacing w:val="-3"/>
        </w:rPr>
        <w:t>资料，未提供工艺开发过程、研究图谱等。考虑到申报资料</w:t>
      </w:r>
      <w:r>
        <w:rPr>
          <w:spacing w:val="-96"/>
        </w:rPr>
        <w:t xml:space="preserve"> </w:t>
      </w:r>
      <w:r>
        <w:rPr>
          <w:spacing w:val="-3"/>
        </w:rPr>
        <w:t>不完整不能支持审评评价，为提升申报资料质量，提高审评</w:t>
      </w:r>
      <w:r>
        <w:rPr>
          <w:spacing w:val="-96"/>
        </w:rPr>
        <w:t xml:space="preserve"> </w:t>
      </w:r>
      <w:r>
        <w:rPr>
          <w:spacing w:val="-3"/>
        </w:rPr>
        <w:t>效率，建议纳入重大缺陷，此类情形既往也属于审评不批准</w:t>
      </w:r>
      <w:r>
        <w:rPr>
          <w:spacing w:val="-96"/>
        </w:rPr>
        <w:t xml:space="preserve"> </w:t>
      </w:r>
      <w:r>
        <w:t>情形。</w:t>
      </w:r>
    </w:p>
    <w:p w14:paraId="526089A7">
      <w:pPr>
        <w:pStyle w:val="2"/>
        <w:spacing w:before="50" w:line="350" w:lineRule="auto"/>
        <w:ind w:right="202" w:firstLine="638"/>
        <w:jc w:val="left"/>
      </w:pPr>
      <w:r>
        <w:rPr>
          <w:rFonts w:ascii="Times New Roman" w:hAnsi="Times New Roman" w:eastAsia="Times New Roman" w:cs="Times New Roman"/>
          <w:spacing w:val="-12"/>
        </w:rPr>
        <w:t>4.</w:t>
      </w:r>
      <w:r>
        <w:rPr>
          <w:spacing w:val="-12"/>
        </w:rPr>
        <w:t>审评过程中变更原料药供应商、生产场地、处方、生产</w:t>
      </w:r>
      <w:r>
        <w:rPr>
          <w:w w:val="100"/>
        </w:rPr>
        <w:t xml:space="preserve"> </w:t>
      </w:r>
      <w:r>
        <w:rPr>
          <w:spacing w:val="-8"/>
        </w:rPr>
        <w:t>工艺、生产批量、直接接触药品的包材等需要重新生产样品、</w:t>
      </w:r>
      <w:r>
        <w:rPr>
          <w:spacing w:val="-115"/>
        </w:rPr>
        <w:t xml:space="preserve"> </w:t>
      </w:r>
      <w:r>
        <w:rPr>
          <w:spacing w:val="-3"/>
        </w:rPr>
        <w:t>重新进行稳定性考察的。考虑到仿制药的上市申请应最少提</w:t>
      </w:r>
      <w:r>
        <w:rPr>
          <w:spacing w:val="-96"/>
        </w:rPr>
        <w:t xml:space="preserve"> </w:t>
      </w:r>
      <w:r>
        <w:t xml:space="preserve">交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3"/>
        </w:rPr>
        <w:t>个月的稳定性资料，以上这些变更通常需要研究较长时</w:t>
      </w:r>
    </w:p>
    <w:p w14:paraId="67F3ABF9">
      <w:pPr>
        <w:pStyle w:val="2"/>
        <w:spacing w:before="18" w:line="357" w:lineRule="auto"/>
        <w:ind w:right="0"/>
        <w:jc w:val="left"/>
      </w:pPr>
      <w:r>
        <w:rPr>
          <w:spacing w:val="-3"/>
        </w:rPr>
        <w:t>间，且变更前产品尚未获批即发生变更存在一定的质量风险，</w:t>
      </w:r>
      <w:r>
        <w:rPr>
          <w:spacing w:val="-91"/>
        </w:rPr>
        <w:t xml:space="preserve"> </w:t>
      </w:r>
      <w:r>
        <w:t>建议纳入重大缺陷。</w:t>
      </w:r>
    </w:p>
    <w:p w14:paraId="3C9A51BB">
      <w:pPr>
        <w:pStyle w:val="2"/>
        <w:spacing w:before="43" w:line="240" w:lineRule="auto"/>
        <w:ind w:left="759" w:right="0"/>
        <w:jc w:val="left"/>
      </w:pPr>
      <w:r>
        <w:rPr>
          <w:rFonts w:ascii="Times New Roman" w:hAnsi="Times New Roman" w:eastAsia="Times New Roman" w:cs="Times New Roman"/>
        </w:rPr>
        <w:t>5.</w:t>
      </w:r>
      <w:r>
        <w:t>本文所列其他重大缺陷情形均为既往审评不批准情形。</w:t>
      </w:r>
    </w:p>
    <w:p w14:paraId="67627179">
      <w:bookmarkStart w:id="0" w:name="_GoBack"/>
      <w:bookmarkEnd w:id="0"/>
    </w:p>
    <w:sectPr>
      <w:pgSz w:w="11910" w:h="16840"/>
      <w:pgMar w:top="1380" w:right="1360" w:bottom="1200" w:left="1680" w:header="0" w:footer="10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72E1F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9912350</wp:posOffset>
              </wp:positionV>
              <wp:extent cx="270510" cy="1416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B6E84">
                          <w:pPr>
                            <w:spacing w:before="0" w:line="204" w:lineRule="exact"/>
                            <w:ind w:left="40" w:right="0" w:firstLine="0"/>
                            <w:jc w:val="left"/>
                            <w:rPr>
                              <w:rFonts w:ascii="等线" w:hAnsi="等线" w:eastAsia="等线" w:cs="等线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b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等线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等线"/>
                              <w:w w:val="101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等线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等线"/>
                              <w:b/>
                              <w:w w:val="101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.5pt;margin-top:780.5pt;height:11.15pt;width:21.3pt;mso-position-horizontal-relative:page;mso-position-vertical-relative:page;z-index:-251657216;mso-width-relative:page;mso-height-relative:page;" filled="f" stroked="f" coordsize="21600,21600" o:gfxdata="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sfzS7bAAAADQEAAA8AAAAAAAAAAQAgAAAAIgAAAGRycy9kb3ducmV2LnhtbFBL&#10;AQIUABQAAAAIAIdO4kAN6ZmpugEAAHEDAAAOAAAAAAAAAAEAIAAAACo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54B6E84">
                    <w:pPr>
                      <w:spacing w:before="0" w:line="204" w:lineRule="exact"/>
                      <w:ind w:left="40" w:right="0" w:firstLine="0"/>
                      <w:jc w:val="left"/>
                      <w:rPr>
                        <w:rFonts w:ascii="等线" w:hAnsi="等线" w:eastAsia="等线" w:cs="等线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b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等线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等线"/>
                        <w:w w:val="101"/>
                        <w:sz w:val="18"/>
                      </w:rPr>
                      <w:t>/</w:t>
                    </w:r>
                    <w:r>
                      <w:rPr>
                        <w:rFonts w:ascii="等线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等线"/>
                        <w:b/>
                        <w:w w:val="101"/>
                        <w:sz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5"/>
      <w:ind w:left="120"/>
    </w:pPr>
    <w:rPr>
      <w:rFonts w:ascii="宋体" w:hAnsi="宋体" w:eastAsia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2025-12-11T03:33:31Z</dcterms:created>
  <dc:creator>杭州泓友</dc:creator>
  <cp:lastModifiedBy>WPS_1715310677</cp:lastModifiedBy>
  <dcterms:modified xsi:type="dcterms:W3CDTF">2025-12-11T03:33:50Z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eyJoZGlkIjoiMjBkNDcwYWRmZGNjNzI3MWUwMGRkYzlhNjdmZjllYTkiLCJ1c2VySWQiOiIxNTk4Mzk4NzA0In0=</vt:lpwstr>
  </property>
  <property fmtid="{D5CDD505-2E9C-101B-9397-08002B2CF9AE}" pid="4" name="ICV">
    <vt:lpwstr>D335544B6F7248EFA815E7F19A766DE3_12</vt:lpwstr>
  </property>
</Properties>
</file>