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EAFE">
      <w:pPr>
        <w:tabs>
          <w:tab w:val="left" w:pos="700"/>
        </w:tabs>
        <w:spacing w:before="0" w:line="412" w:lineRule="exact"/>
        <w:ind w:left="230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z w:val="21"/>
          <w:szCs w:val="21"/>
        </w:rPr>
        <w:t>1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ascii="宋体" w:hAnsi="宋体" w:eastAsia="宋体" w:cs="宋体"/>
          <w:spacing w:val="-75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1</w:t>
      </w:r>
    </w:p>
    <w:p w14:paraId="21BE84DE">
      <w:pPr>
        <w:spacing w:before="174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w w:val="100"/>
          <w:sz w:val="21"/>
        </w:rPr>
        <w:t>2</w:t>
      </w:r>
    </w:p>
    <w:p w14:paraId="49B49B09">
      <w:pPr>
        <w:tabs>
          <w:tab w:val="left" w:pos="1737"/>
        </w:tabs>
        <w:spacing w:before="177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sz w:val="21"/>
        </w:rPr>
        <w:t>3</w:t>
      </w:r>
      <w:r>
        <w:rPr>
          <w:rFonts w:ascii="等线"/>
          <w:sz w:val="21"/>
        </w:rPr>
        <w:tab/>
      </w:r>
      <w:r>
        <w:rPr>
          <w:rFonts w:ascii="等线"/>
          <w:position w:val="-9"/>
          <w:sz w:val="21"/>
        </w:rPr>
        <w:drawing>
          <wp:inline distT="0" distB="0" distL="0" distR="0">
            <wp:extent cx="4116070" cy="261620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451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A872">
      <w:pPr>
        <w:tabs>
          <w:tab w:val="left" w:pos="3591"/>
        </w:tabs>
        <w:spacing w:before="125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sz w:val="21"/>
        </w:rPr>
        <w:t>4</w:t>
      </w:r>
      <w:r>
        <w:rPr>
          <w:rFonts w:ascii="等线"/>
          <w:sz w:val="21"/>
        </w:rPr>
        <w:tab/>
      </w:r>
      <w:r>
        <w:rPr>
          <w:rFonts w:ascii="等线"/>
          <w:position w:val="-9"/>
          <w:sz w:val="21"/>
        </w:rPr>
        <w:drawing>
          <wp:inline distT="0" distB="0" distL="0" distR="0">
            <wp:extent cx="1828800" cy="261620"/>
            <wp:effectExtent l="0" t="0" r="0" b="508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4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FEE5">
      <w:pPr>
        <w:spacing w:before="146" w:line="284" w:lineRule="exact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w w:val="100"/>
          <w:sz w:val="21"/>
        </w:rPr>
        <w:t>5</w:t>
      </w:r>
    </w:p>
    <w:p w14:paraId="3957CCE3">
      <w:pPr>
        <w:pStyle w:val="2"/>
        <w:tabs>
          <w:tab w:val="left" w:pos="1109"/>
        </w:tabs>
        <w:spacing w:before="0" w:line="420" w:lineRule="exact"/>
        <w:ind w:left="0" w:right="207"/>
        <w:jc w:val="center"/>
      </w:pPr>
      <w:r>
        <w:rPr>
          <w:rFonts w:ascii="等线" w:hAnsi="等线" w:eastAsia="等线" w:cs="等线"/>
          <w:sz w:val="21"/>
          <w:szCs w:val="21"/>
        </w:rPr>
        <w:t>6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为促进仿制药质量提升，指导企业研发，严格仿制药技</w:t>
      </w:r>
    </w:p>
    <w:p w14:paraId="6D338AC7">
      <w:pPr>
        <w:pStyle w:val="2"/>
        <w:tabs>
          <w:tab w:val="left" w:pos="470"/>
        </w:tabs>
        <w:spacing w:before="196" w:line="240" w:lineRule="auto"/>
        <w:ind w:left="0" w:right="202"/>
        <w:jc w:val="center"/>
      </w:pPr>
      <w:r>
        <w:rPr>
          <w:rFonts w:ascii="等线" w:hAnsi="等线" w:eastAsia="等线" w:cs="等线"/>
          <w:sz w:val="21"/>
          <w:szCs w:val="21"/>
        </w:rPr>
        <w:t>7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术审评，提高审评效率，结合我国现行技术要求，并参考国</w:t>
      </w:r>
    </w:p>
    <w:p w14:paraId="5F283FE3">
      <w:pPr>
        <w:pStyle w:val="2"/>
        <w:tabs>
          <w:tab w:val="left" w:pos="470"/>
        </w:tabs>
        <w:spacing w:line="240" w:lineRule="auto"/>
        <w:ind w:left="0" w:right="202"/>
        <w:jc w:val="center"/>
      </w:pPr>
      <w:r>
        <w:rPr>
          <w:rFonts w:ascii="等线" w:hAnsi="等线" w:eastAsia="等线" w:cs="等线"/>
          <w:sz w:val="21"/>
          <w:szCs w:val="21"/>
        </w:rPr>
        <w:t>8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际相关技术要求，起草了化学仿制药药学研究重大缺陷，包</w:t>
      </w:r>
    </w:p>
    <w:p w14:paraId="48412138">
      <w:pPr>
        <w:pStyle w:val="2"/>
        <w:tabs>
          <w:tab w:val="left" w:pos="470"/>
        </w:tabs>
        <w:spacing w:before="202" w:line="240" w:lineRule="auto"/>
        <w:ind w:left="0" w:right="202"/>
        <w:jc w:val="center"/>
      </w:pPr>
      <w:r>
        <w:rPr>
          <w:rFonts w:ascii="等线" w:hAnsi="等线" w:eastAsia="等线" w:cs="等线"/>
          <w:sz w:val="21"/>
          <w:szCs w:val="21"/>
        </w:rPr>
        <w:t>9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括核查检验结果不符合规定、申报资料不完整或共用研究数</w:t>
      </w:r>
    </w:p>
    <w:p w14:paraId="333DA111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据、参比制剂选择不符合要求、审评期间发生药学变更需要</w:t>
      </w:r>
    </w:p>
    <w:p w14:paraId="140CA5D1">
      <w:pPr>
        <w:pStyle w:val="2"/>
        <w:tabs>
          <w:tab w:val="left" w:pos="700"/>
        </w:tabs>
        <w:spacing w:before="19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重新生产样品及重新进行稳定性考察的、原辅包未通过审评</w:t>
      </w:r>
    </w:p>
    <w:p w14:paraId="54A37B8B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审批或者质量、来源不符合要求的、处方工艺研究存在缺陷</w:t>
      </w:r>
    </w:p>
    <w:p w14:paraId="122BF2A0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需要重新生产样品及重新进行稳定性考察的、结构确证错误、</w:t>
      </w:r>
    </w:p>
    <w:p w14:paraId="63E1D678">
      <w:pPr>
        <w:pStyle w:val="2"/>
        <w:tabs>
          <w:tab w:val="left" w:pos="700"/>
        </w:tabs>
        <w:spacing w:before="19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质量研究及稳定性研究存在较大缺陷（如未对主要质控项目</w:t>
      </w:r>
    </w:p>
    <w:p w14:paraId="68F5713E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进行研究、杂质含量不可接受、药品质量低于已上市同品种</w:t>
      </w:r>
    </w:p>
    <w:p w14:paraId="12DF1CF5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等）等多种情形。</w:t>
      </w:r>
    </w:p>
    <w:p w14:paraId="5884E856">
      <w:pPr>
        <w:pStyle w:val="2"/>
        <w:tabs>
          <w:tab w:val="left" w:pos="1339"/>
        </w:tabs>
        <w:spacing w:before="19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11"/>
        </w:rPr>
        <w:t>本文件适用范围为化学仿制药及相关原料药的上市许</w:t>
      </w:r>
    </w:p>
    <w:p w14:paraId="2EBDA8F0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可申请、一致性评价申请和补充申请。化学仿制药药学研究</w:t>
      </w:r>
    </w:p>
    <w:p w14:paraId="6B710B15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的重大缺陷包括但不限于以下情形，随着科学研究的进展，</w:t>
      </w:r>
    </w:p>
    <w:p w14:paraId="7B5E088F">
      <w:pPr>
        <w:pStyle w:val="2"/>
        <w:tabs>
          <w:tab w:val="left" w:pos="700"/>
        </w:tabs>
        <w:spacing w:before="19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相关内容将不断完善与更新。</w:t>
      </w:r>
    </w:p>
    <w:p w14:paraId="7CF322C2">
      <w:pPr>
        <w:tabs>
          <w:tab w:val="left" w:pos="1339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21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一、原料药</w:t>
      </w:r>
    </w:p>
    <w:p w14:paraId="230F32E7">
      <w:pPr>
        <w:tabs>
          <w:tab w:val="left" w:pos="1339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22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1.核查检验</w:t>
      </w:r>
    </w:p>
    <w:p w14:paraId="6B0FD7C9">
      <w:pPr>
        <w:pStyle w:val="2"/>
        <w:tabs>
          <w:tab w:val="left" w:pos="1339"/>
        </w:tabs>
        <w:spacing w:before="19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药品注册现场核查或者样品检验结果不符合规定的。</w:t>
      </w:r>
    </w:p>
    <w:p w14:paraId="007F3846">
      <w:pPr>
        <w:spacing w:after="0" w:line="240" w:lineRule="auto"/>
        <w:jc w:val="left"/>
        <w:sectPr>
          <w:footerReference r:id="rId5" w:type="default"/>
          <w:pgSz w:w="11910" w:h="16840"/>
          <w:pgMar w:top="1380" w:right="1360" w:bottom="1200" w:left="1100" w:header="720" w:footer="1007" w:gutter="0"/>
          <w:pgNumType w:start="1"/>
          <w:cols w:space="720" w:num="1"/>
        </w:sectPr>
      </w:pPr>
    </w:p>
    <w:p w14:paraId="0E0BD84D">
      <w:pPr>
        <w:tabs>
          <w:tab w:val="left" w:pos="1339"/>
        </w:tabs>
        <w:spacing w:before="0" w:line="398" w:lineRule="exact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24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2.申报资料</w:t>
      </w:r>
    </w:p>
    <w:p w14:paraId="11B5B7D9">
      <w:pPr>
        <w:pStyle w:val="2"/>
        <w:tabs>
          <w:tab w:val="left" w:pos="1339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）未提交原料药完整的登记资料（如未提交保密部分</w:t>
      </w:r>
    </w:p>
    <w:p w14:paraId="26C063AA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资料等），导致无法评价的。</w:t>
      </w:r>
    </w:p>
    <w:p w14:paraId="60B71534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）未提交工艺开发过程、研究图谱（如质量研究、稳</w:t>
      </w:r>
    </w:p>
    <w:p w14:paraId="1E7E9CC2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定性研究图谱等）或者申报资料中文翻译缺失较多，导致无</w:t>
      </w:r>
    </w:p>
    <w:p w14:paraId="68519FD7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29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法评价的。</w:t>
      </w:r>
    </w:p>
    <w:p w14:paraId="0CC49343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）不同申请的申报资料共用研究数据（包括但不限于</w:t>
      </w:r>
    </w:p>
    <w:p w14:paraId="0650FCD7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起始原料研究、中间体研究、工艺开发、工艺验证、特性鉴</w:t>
      </w:r>
    </w:p>
    <w:p w14:paraId="61ECE3F1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定、质量研究、对照品研究、稳定性研究等的研究数据）的，</w:t>
      </w:r>
    </w:p>
    <w:p w14:paraId="166ED78D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包括新申报的原料药与已批准原料药共用研究数据的。</w:t>
      </w:r>
    </w:p>
    <w:p w14:paraId="3F33580B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）批生产记录、工艺验证方案及验证报告、研究图谱</w:t>
      </w:r>
    </w:p>
    <w:p w14:paraId="49F47F36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35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等存在逻辑性问题的。</w:t>
      </w:r>
    </w:p>
    <w:p w14:paraId="4158E6DD">
      <w:pPr>
        <w:tabs>
          <w:tab w:val="left" w:pos="1339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36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3.审评期间变更</w:t>
      </w:r>
    </w:p>
    <w:p w14:paraId="1DFBC895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）审评期间发生可能影响药品安全性、有效性和质量</w:t>
      </w:r>
    </w:p>
    <w:p w14:paraId="67A849A8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38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可控性的重大变更的。</w:t>
      </w:r>
    </w:p>
    <w:p w14:paraId="5FD4D29E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）审评期间变更生产场地，需要重新生产新的批次并</w:t>
      </w:r>
    </w:p>
    <w:p w14:paraId="138909CC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重新进行稳定性考察的。</w:t>
      </w:r>
    </w:p>
    <w:p w14:paraId="7F200714">
      <w:pPr>
        <w:pStyle w:val="2"/>
        <w:tabs>
          <w:tab w:val="left" w:pos="1339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）审评期间变更生产工艺，需要重新生产新的批次并</w:t>
      </w:r>
    </w:p>
    <w:p w14:paraId="293C7014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重新进行稳定性考察的。</w:t>
      </w:r>
    </w:p>
    <w:p w14:paraId="37FA6453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）审评期间变更生产批量，需要重新生产新的批次并</w:t>
      </w:r>
    </w:p>
    <w:p w14:paraId="06CFDA71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重新进行稳定性考察的。</w:t>
      </w:r>
    </w:p>
    <w:p w14:paraId="3770512E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spacing w:val="-9"/>
        </w:rPr>
        <w:t>）审评期间变更直接接触药品的包装材料和容器，需</w:t>
      </w:r>
    </w:p>
    <w:p w14:paraId="02DFDCAF">
      <w:pPr>
        <w:spacing w:after="0" w:line="240" w:lineRule="auto"/>
        <w:jc w:val="left"/>
        <w:sectPr>
          <w:pgSz w:w="11910" w:h="16840"/>
          <w:pgMar w:top="1500" w:right="1680" w:bottom="1200" w:left="1100" w:header="0" w:footer="1007" w:gutter="0"/>
          <w:cols w:space="720" w:num="1"/>
        </w:sectPr>
      </w:pPr>
    </w:p>
    <w:p w14:paraId="56F597F5">
      <w:pPr>
        <w:pStyle w:val="2"/>
        <w:tabs>
          <w:tab w:val="left" w:pos="700"/>
        </w:tabs>
        <w:spacing w:before="0" w:line="398" w:lineRule="exact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要重新进行稳定性考察的。</w:t>
      </w:r>
    </w:p>
    <w:p w14:paraId="2A9FD90E">
      <w:pPr>
        <w:tabs>
          <w:tab w:val="left" w:pos="1339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4.生产工艺研究</w:t>
      </w:r>
    </w:p>
    <w:p w14:paraId="4BA31CB1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）起始原料选择不符合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Q11</w:t>
      </w:r>
      <w:r>
        <w:rPr>
          <w:spacing w:val="-8"/>
        </w:rPr>
        <w:t>，需要重新选择起始</w:t>
      </w:r>
    </w:p>
    <w:p w14:paraId="60521F62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原料的。</w:t>
      </w:r>
    </w:p>
    <w:p w14:paraId="42218F80">
      <w:pPr>
        <w:pStyle w:val="2"/>
        <w:tabs>
          <w:tab w:val="left" w:pos="1339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）采用已批准原料药为起始原料精制后申报的。</w:t>
      </w:r>
    </w:p>
    <w:p w14:paraId="1EC69715">
      <w:pPr>
        <w:pStyle w:val="2"/>
        <w:tabs>
          <w:tab w:val="left" w:pos="1339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t>（</w:t>
      </w:r>
      <w:r>
        <w:rPr>
          <w:rFonts w:ascii="Times New Roman" w:hAnsi="Times New Roman" w:eastAsia="Times New Roman" w:cs="Times New Roman"/>
        </w:rPr>
        <w:t>3</w:t>
      </w:r>
      <w:r>
        <w:t>）未提交生产工艺验证资料和</w:t>
      </w:r>
      <w:r>
        <w:rPr>
          <w:rFonts w:ascii="Times New Roman" w:hAnsi="Times New Roman" w:eastAsia="Times New Roman" w:cs="Times New Roman"/>
        </w:rPr>
        <w:t>/</w:t>
      </w:r>
      <w:r>
        <w:t>或无菌原料药未进行</w:t>
      </w:r>
    </w:p>
    <w:p w14:paraId="35E3B318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52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无菌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/</w:t>
      </w:r>
      <w:r>
        <w:rPr>
          <w:rFonts w:ascii="宋体" w:hAnsi="宋体" w:eastAsia="宋体" w:cs="宋体"/>
          <w:spacing w:val="-1"/>
          <w:sz w:val="32"/>
          <w:szCs w:val="32"/>
        </w:rPr>
        <w:t>灭菌验证的。</w:t>
      </w:r>
    </w:p>
    <w:p w14:paraId="2E7A24BF">
      <w:pPr>
        <w:pStyle w:val="2"/>
        <w:tabs>
          <w:tab w:val="left" w:pos="1339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）生产工艺不合理或工艺研究存在较大缺陷（如工艺</w:t>
      </w:r>
    </w:p>
    <w:p w14:paraId="1230F9E2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5"/>
        </w:rPr>
        <w:t>不稳健、使用了</w:t>
      </w:r>
      <w: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0"/>
        </w:rPr>
        <w:t>类有机溶剂未提供充分的可替代理由等），</w:t>
      </w:r>
    </w:p>
    <w:p w14:paraId="6AFF7F6A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不能证明药品的安全性、有效性、质量可控性，需要变更生</w:t>
      </w:r>
    </w:p>
    <w:p w14:paraId="4F6667F5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产工艺或重新研究、生产新的批次并重新进行稳定性考察的。</w:t>
      </w:r>
    </w:p>
    <w:p w14:paraId="06F6FFE4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spacing w:val="-9"/>
        </w:rPr>
        <w:t>）注册批批量明显偏小，仅为实验室小试规模，达不</w:t>
      </w:r>
    </w:p>
    <w:p w14:paraId="43CEED37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到中试生产的规模，需要扩大生产批量重新研究的。</w:t>
      </w:r>
    </w:p>
    <w:p w14:paraId="72974F64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6</w:t>
      </w:r>
      <w:r>
        <w:rPr>
          <w:spacing w:val="-10"/>
        </w:rPr>
        <w:t>）采用多批亚批（如</w:t>
      </w:r>
      <w: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9"/>
        </w:rPr>
        <w:t>批以上）合并的方式生产，增</w:t>
      </w:r>
    </w:p>
    <w:p w14:paraId="41046336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加了质量可控风险且无合理依据的。</w:t>
      </w:r>
    </w:p>
    <w:p w14:paraId="47152DBF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spacing w:val="3"/>
        </w:rPr>
        <w:t>）一个登记号的原料药申报多个不同的生产工艺的</w:t>
      </w:r>
    </w:p>
    <w:p w14:paraId="3FA6B9DE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（如一个原料药上市许可申请包含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A  </w:t>
      </w:r>
      <w:r>
        <w:t xml:space="preserve">和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1"/>
        </w:rPr>
        <w:t>两种不同的合成</w:t>
      </w:r>
    </w:p>
    <w:p w14:paraId="5F50A3BB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63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41"/>
          <w:sz w:val="32"/>
          <w:szCs w:val="32"/>
        </w:rPr>
        <w:t>路线）。</w:t>
      </w:r>
    </w:p>
    <w:p w14:paraId="471E0B8D">
      <w:pPr>
        <w:tabs>
          <w:tab w:val="left" w:pos="1339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64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5.结构确证</w:t>
      </w:r>
    </w:p>
    <w:p w14:paraId="3D4BCF2D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结构确证错误或与目标物不一致（骨架结构、构型、晶</w:t>
      </w:r>
    </w:p>
    <w:p w14:paraId="61E906C9">
      <w:pPr>
        <w:tabs>
          <w:tab w:val="left" w:pos="700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66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6"/>
          <w:sz w:val="32"/>
          <w:szCs w:val="32"/>
        </w:rPr>
        <w:t>型、结晶水</w:t>
      </w:r>
      <w:r>
        <w:rPr>
          <w:rFonts w:ascii="Times New Roman" w:hAnsi="Times New Roman" w:eastAsia="Times New Roman" w:cs="Times New Roman"/>
          <w:spacing w:val="-16"/>
          <w:sz w:val="32"/>
          <w:szCs w:val="32"/>
        </w:rPr>
        <w:t>/</w:t>
      </w:r>
      <w:r>
        <w:rPr>
          <w:rFonts w:ascii="宋体" w:hAnsi="宋体" w:eastAsia="宋体" w:cs="宋体"/>
          <w:spacing w:val="-16"/>
          <w:sz w:val="32"/>
          <w:szCs w:val="32"/>
        </w:rPr>
        <w:t>溶剂等）。</w:t>
      </w:r>
    </w:p>
    <w:p w14:paraId="793FB5F6">
      <w:pPr>
        <w:tabs>
          <w:tab w:val="left" w:pos="1339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67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6.质量研究</w:t>
      </w:r>
    </w:p>
    <w:p w14:paraId="5AFF9E06">
      <w:pPr>
        <w:spacing w:after="0"/>
        <w:jc w:val="left"/>
        <w:rPr>
          <w:rFonts w:ascii="宋体" w:hAnsi="宋体" w:eastAsia="宋体" w:cs="宋体"/>
          <w:sz w:val="32"/>
          <w:szCs w:val="32"/>
        </w:rPr>
        <w:sectPr>
          <w:pgSz w:w="11910" w:h="16840"/>
          <w:pgMar w:top="1500" w:right="1360" w:bottom="1200" w:left="1100" w:header="0" w:footer="1007" w:gutter="0"/>
          <w:cols w:space="720" w:num="1"/>
        </w:sectPr>
      </w:pPr>
    </w:p>
    <w:p w14:paraId="6EA95452">
      <w:pPr>
        <w:pStyle w:val="2"/>
        <w:tabs>
          <w:tab w:val="left" w:pos="1339"/>
        </w:tabs>
        <w:spacing w:before="0" w:line="418" w:lineRule="exact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）未对主要质控项目（如有关物质等）进行研究或主</w:t>
      </w:r>
    </w:p>
    <w:p w14:paraId="7CBD9788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69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要质控项目的分析方法不合理、不可行（如分析方法不能反</w:t>
      </w:r>
    </w:p>
    <w:p w14:paraId="71F50637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映药品质量），需要重新开发新的分析方法并进行方法学验</w:t>
      </w:r>
    </w:p>
    <w:p w14:paraId="7FABDCB0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证、重新进行稳定性考察的。</w:t>
      </w:r>
    </w:p>
    <w:p w14:paraId="4D62BCA0">
      <w:pPr>
        <w:pStyle w:val="2"/>
        <w:tabs>
          <w:tab w:val="left" w:pos="1339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）研究结果显示原料药的质量不符合国家药品标准</w:t>
      </w:r>
    </w:p>
    <w:p w14:paraId="0848A413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6"/>
        </w:rPr>
        <w:t>和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或相关指导原则的要求且无合理依据的，或者质量低于已</w:t>
      </w:r>
    </w:p>
    <w:p w14:paraId="30780528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上市同品种（如参比制剂所用原料药），或者杂质含量不可接</w:t>
      </w:r>
    </w:p>
    <w:p w14:paraId="3F53CBEB">
      <w:pPr>
        <w:tabs>
          <w:tab w:val="left" w:pos="700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75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受。</w:t>
      </w:r>
    </w:p>
    <w:p w14:paraId="0ABDA30B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）未对含量超出鉴定限度的杂质进行定性研究。</w:t>
      </w:r>
    </w:p>
    <w:p w14:paraId="0F83261E">
      <w:pPr>
        <w:pStyle w:val="2"/>
        <w:tabs>
          <w:tab w:val="left" w:pos="1339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77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）出现含量超过界定限度的杂质，杂质限度的制定依</w:t>
      </w:r>
    </w:p>
    <w:p w14:paraId="793DD7AC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78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据不充分。</w:t>
      </w:r>
    </w:p>
    <w:p w14:paraId="186594F8">
      <w:pPr>
        <w:tabs>
          <w:tab w:val="left" w:pos="1339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79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7.稳定性研究</w:t>
      </w:r>
    </w:p>
    <w:p w14:paraId="7B352521">
      <w:pPr>
        <w:pStyle w:val="2"/>
        <w:tabs>
          <w:tab w:val="left" w:pos="1339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）稳定性考察样品（如批次、批量不符合要求、包装</w:t>
      </w:r>
    </w:p>
    <w:p w14:paraId="58A41C4A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没有代表性、样品未在拟定商业化生产线生产等）、考察指标</w:t>
      </w:r>
    </w:p>
    <w:p w14:paraId="7ACF3DAA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（如未考察有关物质等）、考察时间（如未按照相关指导原则</w:t>
      </w:r>
    </w:p>
    <w:p w14:paraId="7A745328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设计取样时间点、考察时长不满足申报或评价要求等）、考察</w:t>
      </w:r>
    </w:p>
    <w:p w14:paraId="0F87DD6C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条件（如直接选择更严苛的考察条件且无充分依据等）不符</w:t>
      </w:r>
    </w:p>
    <w:p w14:paraId="23B9B7AA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合相关指导原则或稳定性评价的要求，需要重新进行稳定性</w:t>
      </w:r>
    </w:p>
    <w:p w14:paraId="34805E77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86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考察的。</w:t>
      </w:r>
    </w:p>
    <w:p w14:paraId="01A6CD75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）稳定性考察数据不符合要求（超出质量标准限度、</w:t>
      </w:r>
    </w:p>
    <w:p w14:paraId="59E6C7A7">
      <w:pPr>
        <w:pStyle w:val="2"/>
        <w:tabs>
          <w:tab w:val="left" w:pos="700"/>
        </w:tabs>
        <w:spacing w:before="18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质量指标发生显著性变化、杂质含量不可接受等），或者考察</w:t>
      </w:r>
    </w:p>
    <w:p w14:paraId="6AE64C5A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89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结果显示自制原料药的质量低于已上市同品种（如参比制剂</w:t>
      </w:r>
    </w:p>
    <w:p w14:paraId="34E7789B">
      <w:pPr>
        <w:spacing w:after="0" w:line="240" w:lineRule="auto"/>
        <w:jc w:val="left"/>
        <w:sectPr>
          <w:pgSz w:w="11910" w:h="16840"/>
          <w:pgMar w:top="1500" w:right="1680" w:bottom="1200" w:left="1100" w:header="0" w:footer="1007" w:gutter="0"/>
          <w:cols w:space="720" w:num="1"/>
        </w:sectPr>
      </w:pPr>
    </w:p>
    <w:p w14:paraId="6A50A5E4">
      <w:pPr>
        <w:tabs>
          <w:tab w:val="left" w:pos="800"/>
        </w:tabs>
        <w:spacing w:before="0" w:line="398" w:lineRule="exact"/>
        <w:ind w:left="2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90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5"/>
          <w:sz w:val="32"/>
          <w:szCs w:val="32"/>
        </w:rPr>
        <w:t>所用原料药）。</w:t>
      </w:r>
    </w:p>
    <w:p w14:paraId="14A498B1">
      <w:pPr>
        <w:pStyle w:val="2"/>
        <w:tabs>
          <w:tab w:val="left" w:pos="1439"/>
        </w:tabs>
        <w:spacing w:before="202"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）长期稳定性考察出现含量超过鉴定限度的新增杂</w:t>
      </w:r>
    </w:p>
    <w:p w14:paraId="1B4D286E">
      <w:pPr>
        <w:pStyle w:val="2"/>
        <w:tabs>
          <w:tab w:val="left" w:pos="800"/>
        </w:tabs>
        <w:spacing w:before="181"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质，未对其进行定性研究。</w:t>
      </w:r>
    </w:p>
    <w:p w14:paraId="03441129">
      <w:pPr>
        <w:pStyle w:val="2"/>
        <w:tabs>
          <w:tab w:val="left" w:pos="1439"/>
        </w:tabs>
        <w:spacing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）长期稳定性考察出现含量超过界定限度的杂质，杂</w:t>
      </w:r>
    </w:p>
    <w:p w14:paraId="1729C5E1">
      <w:pPr>
        <w:pStyle w:val="2"/>
        <w:tabs>
          <w:tab w:val="left" w:pos="800"/>
        </w:tabs>
        <w:spacing w:before="181"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质限度的制定依据不充分。</w:t>
      </w:r>
    </w:p>
    <w:p w14:paraId="4E68BEDA">
      <w:pPr>
        <w:pStyle w:val="2"/>
        <w:tabs>
          <w:tab w:val="left" w:pos="1439"/>
        </w:tabs>
        <w:spacing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8.</w:t>
      </w:r>
      <w:r>
        <w:rPr>
          <w:spacing w:val="1"/>
        </w:rPr>
        <w:t>其他申报资料显示药品安全性、有效性、质量可控性</w:t>
      </w:r>
    </w:p>
    <w:p w14:paraId="391E684B">
      <w:pPr>
        <w:pStyle w:val="2"/>
        <w:tabs>
          <w:tab w:val="left" w:pos="800"/>
        </w:tabs>
        <w:spacing w:before="181" w:line="240" w:lineRule="auto"/>
        <w:ind w:left="21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96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等存在较大缺陷的或不能证明药品安全性、有效性、质量可</w:t>
      </w:r>
    </w:p>
    <w:p w14:paraId="3B6B85DC">
      <w:pPr>
        <w:tabs>
          <w:tab w:val="left" w:pos="800"/>
        </w:tabs>
        <w:spacing w:before="202"/>
        <w:ind w:left="2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97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控性的。</w:t>
      </w:r>
    </w:p>
    <w:p w14:paraId="2646A0C1">
      <w:pPr>
        <w:tabs>
          <w:tab w:val="left" w:pos="1439"/>
        </w:tabs>
        <w:spacing w:before="201"/>
        <w:ind w:left="2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98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二、制剂</w:t>
      </w:r>
    </w:p>
    <w:p w14:paraId="175B6D52">
      <w:pPr>
        <w:tabs>
          <w:tab w:val="left" w:pos="1439"/>
        </w:tabs>
        <w:spacing w:before="202"/>
        <w:ind w:left="2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99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1.核查检验</w:t>
      </w:r>
    </w:p>
    <w:p w14:paraId="251700AA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药品注册现场核查或者样品检验结果不符合规定的。</w:t>
      </w:r>
    </w:p>
    <w:p w14:paraId="0FD45C18">
      <w:pPr>
        <w:tabs>
          <w:tab w:val="left" w:pos="1439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101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2.申报资料</w:t>
      </w:r>
    </w:p>
    <w:p w14:paraId="24266AD5">
      <w:pPr>
        <w:pStyle w:val="2"/>
        <w:tabs>
          <w:tab w:val="left" w:pos="1439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5"/>
        </w:rPr>
        <w:t>（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spacing w:val="-15"/>
        </w:rPr>
        <w:t>）未提供处方工艺开发过程、研究图谱（如质量研究、</w:t>
      </w:r>
    </w:p>
    <w:p w14:paraId="0FC78D71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稳定性研究图谱等）或申报资料中文翻译缺失较多，导致无</w:t>
      </w:r>
    </w:p>
    <w:p w14:paraId="299B2B08">
      <w:pPr>
        <w:tabs>
          <w:tab w:val="left" w:pos="800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104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法评价的。</w:t>
      </w:r>
    </w:p>
    <w:p w14:paraId="4D59ED05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）不同申请的申报资料共用研究数据（包括但不限于</w:t>
      </w:r>
    </w:p>
    <w:p w14:paraId="537D73B5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原辅包研究、处方开发、工艺开发、工艺验证、质量研究、</w:t>
      </w:r>
    </w:p>
    <w:p w14:paraId="323DC1EC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对照品研究、相容性研究、稳定性研究等的研究数据）的，</w:t>
      </w:r>
    </w:p>
    <w:p w14:paraId="4C07522F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包括新申报的药品与已批准药品共用研究数据的。</w:t>
      </w:r>
    </w:p>
    <w:p w14:paraId="74FFD15A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109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）批生产记录、工艺验证方案及报告、研究图谱等存</w:t>
      </w:r>
    </w:p>
    <w:p w14:paraId="72B10048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在逻辑性问题的。</w:t>
      </w:r>
    </w:p>
    <w:p w14:paraId="7CFEEC90">
      <w:pPr>
        <w:tabs>
          <w:tab w:val="left" w:pos="1439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3.参比制剂</w:t>
      </w:r>
    </w:p>
    <w:p w14:paraId="41F9F433">
      <w:pPr>
        <w:spacing w:after="0"/>
        <w:jc w:val="left"/>
        <w:rPr>
          <w:rFonts w:ascii="宋体" w:hAnsi="宋体" w:eastAsia="宋体" w:cs="宋体"/>
          <w:sz w:val="32"/>
          <w:szCs w:val="32"/>
        </w:rPr>
        <w:sectPr>
          <w:pgSz w:w="11910" w:h="16840"/>
          <w:pgMar w:top="1500" w:right="1520" w:bottom="1200" w:left="1000" w:header="0" w:footer="1007" w:gutter="0"/>
          <w:cols w:space="720" w:num="1"/>
        </w:sectPr>
      </w:pPr>
    </w:p>
    <w:p w14:paraId="3D8A937E">
      <w:pPr>
        <w:pStyle w:val="2"/>
        <w:tabs>
          <w:tab w:val="left" w:pos="1439"/>
        </w:tabs>
        <w:spacing w:before="0" w:line="398" w:lineRule="exact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11"/>
        </w:rPr>
        <w:t>参比制剂的选择不符合要求或者未与参比制剂进行对</w:t>
      </w:r>
    </w:p>
    <w:p w14:paraId="0E7AE279">
      <w:pPr>
        <w:tabs>
          <w:tab w:val="left" w:pos="800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比研究。</w:t>
      </w:r>
    </w:p>
    <w:p w14:paraId="3A75D17D">
      <w:pPr>
        <w:tabs>
          <w:tab w:val="left" w:pos="1439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4.审评期间变更</w:t>
      </w:r>
    </w:p>
    <w:p w14:paraId="63E075D3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）审评期间发生可能影响药品安全性、有效性和质量</w:t>
      </w:r>
    </w:p>
    <w:p w14:paraId="5769445E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可控性的重大变更的。</w:t>
      </w:r>
    </w:p>
    <w:p w14:paraId="43763FF5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）审评期间变更原料药供应商，需要重新生产新的批</w:t>
      </w:r>
    </w:p>
    <w:p w14:paraId="012E7EF5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118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次并重新进行稳定性考察的。</w:t>
      </w:r>
    </w:p>
    <w:p w14:paraId="261DD5D9">
      <w:pPr>
        <w:pStyle w:val="2"/>
        <w:tabs>
          <w:tab w:val="left" w:pos="1439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）审评期间变更生产场地，需要重新生产新的批次并</w:t>
      </w:r>
    </w:p>
    <w:p w14:paraId="5A36F4A6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重新进行稳定性考察的。</w:t>
      </w:r>
    </w:p>
    <w:p w14:paraId="0C5FFF63">
      <w:pPr>
        <w:pStyle w:val="2"/>
        <w:tabs>
          <w:tab w:val="left" w:pos="1439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）审评期间变更处方，需要重新生产新的批次并重新</w:t>
      </w:r>
    </w:p>
    <w:p w14:paraId="572FBC34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进行稳定性考察的。</w:t>
      </w:r>
    </w:p>
    <w:p w14:paraId="7F3BE1DD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spacing w:val="-9"/>
        </w:rPr>
        <w:t>）审评期间变更生产批量，需要重新生产新的批次并</w:t>
      </w:r>
    </w:p>
    <w:p w14:paraId="452DE743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重新进行稳定性考察的。</w:t>
      </w:r>
    </w:p>
    <w:p w14:paraId="655A769C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spacing w:val="-9"/>
        </w:rPr>
        <w:t>）审评期间变更直接接触药品的包装材料和容器，需</w:t>
      </w:r>
    </w:p>
    <w:p w14:paraId="68D5224B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要重新进行稳定性考察的。</w:t>
      </w:r>
    </w:p>
    <w:p w14:paraId="70380027">
      <w:pPr>
        <w:tabs>
          <w:tab w:val="left" w:pos="1439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5.原辅包</w:t>
      </w:r>
    </w:p>
    <w:p w14:paraId="554F3EFB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）制剂使用的原辅包未通过审评审批的，或原辅包的</w:t>
      </w:r>
    </w:p>
    <w:p w14:paraId="72FF2108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129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质量不能满足制剂要求的。</w:t>
      </w:r>
    </w:p>
    <w:p w14:paraId="2B65379D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）关联申报的原料药与关键临床试验批和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或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BE 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t>批</w:t>
      </w:r>
    </w:p>
    <w:p w14:paraId="1066155E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所用原料药供应商不一致，且关键临床试验批和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或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BE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t>批所</w:t>
      </w:r>
    </w:p>
    <w:p w14:paraId="08463DC5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132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用原料药未经过审评审批的。</w:t>
      </w:r>
    </w:p>
    <w:p w14:paraId="2B224D0F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）采用药用辅料、化学试剂等作为原料药申报制剂的。</w:t>
      </w:r>
    </w:p>
    <w:p w14:paraId="0222619A">
      <w:pPr>
        <w:spacing w:after="0" w:line="240" w:lineRule="auto"/>
        <w:jc w:val="left"/>
        <w:sectPr>
          <w:pgSz w:w="11910" w:h="16840"/>
          <w:pgMar w:top="1500" w:right="1360" w:bottom="1200" w:left="1000" w:header="0" w:footer="1007" w:gutter="0"/>
          <w:cols w:space="720" w:num="1"/>
        </w:sectPr>
      </w:pPr>
    </w:p>
    <w:p w14:paraId="386616A5">
      <w:pPr>
        <w:tabs>
          <w:tab w:val="left" w:pos="1439"/>
        </w:tabs>
        <w:spacing w:before="0" w:line="398" w:lineRule="exact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134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6.处方及生产工艺研究</w:t>
      </w:r>
    </w:p>
    <w:p w14:paraId="3DEDD5EE">
      <w:pPr>
        <w:pStyle w:val="2"/>
        <w:tabs>
          <w:tab w:val="left" w:pos="1439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）处方不合理或处方选择依据不充分（如辅料的种类、</w:t>
      </w:r>
    </w:p>
    <w:p w14:paraId="0AFECDBE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用量无合理依据等），不能证明药品的安全性、有效性、质量</w:t>
      </w:r>
    </w:p>
    <w:p w14:paraId="52FC0674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可控性，需要变更处方或重新研究、生产新的批次并重新进</w:t>
      </w:r>
    </w:p>
    <w:p w14:paraId="5866C9FD">
      <w:pPr>
        <w:tabs>
          <w:tab w:val="left" w:pos="800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138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行稳定性考察的。</w:t>
      </w:r>
    </w:p>
    <w:p w14:paraId="4D448743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）生产工艺不合理或工艺研究存在较大缺陷（如灭菌</w:t>
      </w:r>
    </w:p>
    <w:p w14:paraId="216CF583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工艺选择不合理、未参考参比制剂设计功能性刻痕、过量投</w:t>
      </w:r>
    </w:p>
    <w:p w14:paraId="5CA97ED2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料依据不充分、工艺不稳健、相容性和密封性研究结果不符</w:t>
      </w:r>
    </w:p>
    <w:p w14:paraId="1DFA6925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合要求等），不能证明药品的安全性、有效性、质量可控性，</w:t>
      </w:r>
    </w:p>
    <w:p w14:paraId="7FE7458F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需要变更生产工艺或重新研究、生产新的批次并重新进行稳</w:t>
      </w:r>
    </w:p>
    <w:p w14:paraId="036ACF10">
      <w:pPr>
        <w:tabs>
          <w:tab w:val="left" w:pos="800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144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定性考察的。</w:t>
      </w:r>
    </w:p>
    <w:p w14:paraId="059FA572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t>（</w:t>
      </w:r>
      <w:r>
        <w:rPr>
          <w:rFonts w:ascii="Times New Roman" w:hAnsi="Times New Roman" w:eastAsia="Times New Roman" w:cs="Times New Roman"/>
        </w:rPr>
        <w:t>3</w:t>
      </w:r>
      <w:r>
        <w:t>）未提交生产工艺验证资料和</w:t>
      </w:r>
      <w:r>
        <w:rPr>
          <w:rFonts w:ascii="Times New Roman" w:hAnsi="Times New Roman" w:eastAsia="Times New Roman" w:cs="Times New Roman"/>
        </w:rPr>
        <w:t>/</w:t>
      </w:r>
      <w:r>
        <w:t>或无菌制剂未进行无</w:t>
      </w:r>
    </w:p>
    <w:p w14:paraId="3DFCB3DB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146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菌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/</w:t>
      </w:r>
      <w:r>
        <w:rPr>
          <w:rFonts w:ascii="宋体" w:hAnsi="宋体" w:eastAsia="宋体" w:cs="宋体"/>
          <w:spacing w:val="-1"/>
          <w:sz w:val="32"/>
          <w:szCs w:val="32"/>
        </w:rPr>
        <w:t>灭菌验证的。</w:t>
      </w:r>
    </w:p>
    <w:p w14:paraId="654EB795">
      <w:pPr>
        <w:tabs>
          <w:tab w:val="left" w:pos="1439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147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rFonts w:ascii="宋体" w:hAnsi="宋体" w:eastAsia="宋体" w:cs="宋体"/>
          <w:spacing w:val="-2"/>
          <w:sz w:val="32"/>
          <w:szCs w:val="32"/>
        </w:rPr>
        <w:t>）注册批批量不符合要求。</w:t>
      </w:r>
    </w:p>
    <w:p w14:paraId="4DA5D66D">
      <w:pPr>
        <w:pStyle w:val="2"/>
        <w:tabs>
          <w:tab w:val="left" w:pos="1439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spacing w:val="-10"/>
        </w:rPr>
        <w:t>）采用多批亚批（如</w:t>
      </w:r>
      <w: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9"/>
        </w:rPr>
        <w:t>批以上）合并的方式生产，增</w:t>
      </w:r>
    </w:p>
    <w:p w14:paraId="42ED486B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加了质量可控风险且无合理依据的。</w:t>
      </w:r>
    </w:p>
    <w:p w14:paraId="50388A0F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）同一个制剂申报不同的处方和</w:t>
      </w:r>
      <w:r>
        <w:rPr>
          <w:rFonts w:ascii="Times New Roman" w:hAnsi="Times New Roman" w:eastAsia="Times New Roman" w:cs="Times New Roman"/>
        </w:rPr>
        <w:t>/</w:t>
      </w:r>
      <w:r>
        <w:t>或生产工艺的（如</w:t>
      </w:r>
    </w:p>
    <w:p w14:paraId="5A90FE8A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10"/>
        </w:rPr>
        <w:t>一个制剂的上市许可申请包含湿法制粒工艺和干法制粒工</w:t>
      </w:r>
    </w:p>
    <w:p w14:paraId="0196F917">
      <w:pPr>
        <w:tabs>
          <w:tab w:val="left" w:pos="800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152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5"/>
          <w:sz w:val="32"/>
          <w:szCs w:val="32"/>
        </w:rPr>
        <w:t>艺两种不同的制粒工艺）。</w:t>
      </w:r>
    </w:p>
    <w:p w14:paraId="544B238A">
      <w:pPr>
        <w:tabs>
          <w:tab w:val="left" w:pos="1439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153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7.质量研究</w:t>
      </w:r>
    </w:p>
    <w:p w14:paraId="155AD605">
      <w:pPr>
        <w:pStyle w:val="2"/>
        <w:tabs>
          <w:tab w:val="left" w:pos="1439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）未对主要质控项目（如有关物质等）进行研究或主</w:t>
      </w:r>
    </w:p>
    <w:p w14:paraId="25ED4749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要质控项目的分析方法不不合理、不可行（如分析方法不能</w:t>
      </w:r>
    </w:p>
    <w:p w14:paraId="0476D891">
      <w:pPr>
        <w:spacing w:after="0" w:line="240" w:lineRule="auto"/>
        <w:jc w:val="left"/>
        <w:sectPr>
          <w:pgSz w:w="11910" w:h="16840"/>
          <w:pgMar w:top="1500" w:right="1360" w:bottom="1200" w:left="1000" w:header="0" w:footer="1007" w:gutter="0"/>
          <w:cols w:space="720" w:num="1"/>
        </w:sectPr>
      </w:pPr>
    </w:p>
    <w:p w14:paraId="6CA11727">
      <w:pPr>
        <w:pStyle w:val="2"/>
        <w:tabs>
          <w:tab w:val="left" w:pos="800"/>
        </w:tabs>
        <w:spacing w:before="0" w:line="398" w:lineRule="exact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反映药品质量），需要重新开发新的分析方法并进行方法学</w:t>
      </w:r>
    </w:p>
    <w:p w14:paraId="302A8EF6">
      <w:pPr>
        <w:tabs>
          <w:tab w:val="left" w:pos="800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157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验证、重新进行稳定性考察的。</w:t>
      </w:r>
    </w:p>
    <w:p w14:paraId="38279D06">
      <w:pPr>
        <w:pStyle w:val="2"/>
        <w:tabs>
          <w:tab w:val="left" w:pos="1439"/>
        </w:tabs>
        <w:spacing w:line="240" w:lineRule="auto"/>
        <w:ind w:left="109" w:right="0"/>
        <w:jc w:val="left"/>
        <w:rPr>
          <w:rFonts w:ascii="Times New Roman" w:hAnsi="Times New Roman" w:eastAsia="Times New Roman" w:cs="Times New Roman"/>
        </w:rPr>
      </w:pPr>
      <w:r>
        <w:rPr>
          <w:rFonts w:ascii="等线" w:hAnsi="等线" w:eastAsia="等线" w:cs="等线"/>
          <w:spacing w:val="-1"/>
          <w:sz w:val="21"/>
          <w:szCs w:val="21"/>
        </w:rPr>
        <w:t>158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t>（</w:t>
      </w:r>
      <w:r>
        <w:rPr>
          <w:rFonts w:ascii="Times New Roman" w:hAnsi="Times New Roman" w:eastAsia="Times New Roman" w:cs="Times New Roman"/>
        </w:rPr>
        <w:t>2</w:t>
      </w:r>
      <w:r>
        <w:t>）研究结果显示药品的质量不符合国家药品标准和</w:t>
      </w:r>
      <w:r>
        <w:rPr>
          <w:rFonts w:ascii="Times New Roman" w:hAnsi="Times New Roman" w:eastAsia="Times New Roman" w:cs="Times New Roman"/>
        </w:rPr>
        <w:t>/</w:t>
      </w:r>
    </w:p>
    <w:p w14:paraId="717A92C7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159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或相关指导原则的要求且无合理理由的，或者质量低于已上</w:t>
      </w:r>
    </w:p>
    <w:p w14:paraId="12FDD060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市同品种（如参比制剂），或者杂质含量不可接受。</w:t>
      </w:r>
    </w:p>
    <w:p w14:paraId="7270F159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）未对含量超出鉴定限度的杂质进行定性研究。</w:t>
      </w:r>
    </w:p>
    <w:p w14:paraId="213F19B1">
      <w:pPr>
        <w:pStyle w:val="2"/>
        <w:tabs>
          <w:tab w:val="left" w:pos="1439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）出现含量超过界定限度的杂质，杂质限度的制定依</w:t>
      </w:r>
    </w:p>
    <w:p w14:paraId="277992E5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163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据不充分。</w:t>
      </w:r>
    </w:p>
    <w:p w14:paraId="4EED4272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）乙醇剂量倾泻试验结果显示药品存在安全风险的。</w:t>
      </w:r>
    </w:p>
    <w:p w14:paraId="6EC98ECF">
      <w:pPr>
        <w:tabs>
          <w:tab w:val="left" w:pos="1439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165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8.稳定性研究</w:t>
      </w:r>
    </w:p>
    <w:p w14:paraId="40D37035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）稳定性考察样品（如批次、批量不符合要求、包装</w:t>
      </w:r>
    </w:p>
    <w:p w14:paraId="1B5B67D0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没有代表性、样品未在拟定商业化生产线生产等）、考察指标</w:t>
      </w:r>
    </w:p>
    <w:p w14:paraId="480BE51D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（如未考察有关物质等）、考察时间（如未按照指导原则设计</w:t>
      </w:r>
    </w:p>
    <w:p w14:paraId="3DA52C87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取样时间点、考察时长不满足申报或评价要求等）、考察条件</w:t>
      </w:r>
    </w:p>
    <w:p w14:paraId="6D9C8C80">
      <w:pPr>
        <w:pStyle w:val="2"/>
        <w:tabs>
          <w:tab w:val="left" w:pos="800"/>
        </w:tabs>
        <w:spacing w:before="202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（如直接选择更严苛的考察条件或且无充分依据等）不符合</w:t>
      </w:r>
    </w:p>
    <w:p w14:paraId="0E49043E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相关指导原则或评价的要求，需要重新进行稳定性考察的。</w:t>
      </w:r>
    </w:p>
    <w:p w14:paraId="7836AA0D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）稳定性考察数据不符合要求（超出质量标准限度、</w:t>
      </w:r>
    </w:p>
    <w:p w14:paraId="39AA0EAB">
      <w:pPr>
        <w:pStyle w:val="2"/>
        <w:tabs>
          <w:tab w:val="left" w:pos="800"/>
        </w:tabs>
        <w:spacing w:before="181"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4"/>
        </w:rPr>
        <w:t>质量指标发生显著性变化、杂质含量不可接受等），或者考察</w:t>
      </w:r>
    </w:p>
    <w:p w14:paraId="0B2F8287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8"/>
        </w:rPr>
        <w:t>结果显示药品的质量低于已上市同品种（如参比制剂）。</w:t>
      </w:r>
    </w:p>
    <w:p w14:paraId="3CDD7053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）长期稳定性考察出现含量超过鉴定限度的新增杂</w:t>
      </w:r>
    </w:p>
    <w:p w14:paraId="234A3C0B">
      <w:pPr>
        <w:tabs>
          <w:tab w:val="left" w:pos="800"/>
        </w:tabs>
        <w:spacing w:before="18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176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质，未对其进行定性研究。</w:t>
      </w:r>
    </w:p>
    <w:p w14:paraId="249AFDD3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）长期稳定性考察出现含量超过界定限度的杂质，杂</w:t>
      </w:r>
    </w:p>
    <w:p w14:paraId="0D1AD9B7">
      <w:pPr>
        <w:spacing w:after="0" w:line="240" w:lineRule="auto"/>
        <w:jc w:val="left"/>
        <w:sectPr>
          <w:pgSz w:w="11910" w:h="16840"/>
          <w:pgMar w:top="1500" w:right="1520" w:bottom="1200" w:left="1000" w:header="0" w:footer="1007" w:gutter="0"/>
          <w:cols w:space="720" w:num="1"/>
        </w:sectPr>
      </w:pPr>
    </w:p>
    <w:p w14:paraId="336E1CD3">
      <w:pPr>
        <w:tabs>
          <w:tab w:val="left" w:pos="800"/>
        </w:tabs>
        <w:spacing w:before="0" w:line="398" w:lineRule="exact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178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质限度依据不充分的。</w:t>
      </w:r>
    </w:p>
    <w:p w14:paraId="47126B5A">
      <w:pPr>
        <w:tabs>
          <w:tab w:val="left" w:pos="1439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179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9.申请豁免生物等效性研究的</w:t>
      </w:r>
    </w:p>
    <w:p w14:paraId="2834C992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180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处方组成、生产工艺、溶出曲线等关键质量属性对比研</w:t>
      </w:r>
    </w:p>
    <w:p w14:paraId="197C28C8">
      <w:pPr>
        <w:tabs>
          <w:tab w:val="left" w:pos="800"/>
        </w:tabs>
        <w:spacing w:before="201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181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究不符合相关指导原则的要求。</w:t>
      </w:r>
    </w:p>
    <w:p w14:paraId="0DE068BD">
      <w:pPr>
        <w:tabs>
          <w:tab w:val="left" w:pos="1439"/>
        </w:tabs>
        <w:spacing w:before="202"/>
        <w:ind w:left="10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182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10.其他</w:t>
      </w:r>
    </w:p>
    <w:p w14:paraId="07534C1A">
      <w:pPr>
        <w:pStyle w:val="2"/>
        <w:tabs>
          <w:tab w:val="left" w:pos="1439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183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申报资料显示药品安全性、有效性、质量可控性等存在</w:t>
      </w:r>
    </w:p>
    <w:p w14:paraId="6BC04701">
      <w:pPr>
        <w:pStyle w:val="2"/>
        <w:tabs>
          <w:tab w:val="left" w:pos="800"/>
        </w:tabs>
        <w:spacing w:line="240" w:lineRule="auto"/>
        <w:ind w:left="109"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184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较大缺陷的或不能证明药品安全性、有效性、质量可控性的。</w:t>
      </w:r>
    </w:p>
    <w:p w14:paraId="26A140DD">
      <w:bookmarkStart w:id="0" w:name="_GoBack"/>
      <w:bookmarkEnd w:id="0"/>
    </w:p>
    <w:sectPr>
      <w:pgSz w:w="11910" w:h="16840"/>
      <w:pgMar w:top="1500" w:right="1520" w:bottom="1200" w:left="1000" w:header="0" w:footer="10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13985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9912350</wp:posOffset>
              </wp:positionV>
              <wp:extent cx="273685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7A036">
                          <w:pPr>
                            <w:spacing w:before="0" w:line="204" w:lineRule="exact"/>
                            <w:ind w:left="44" w:right="0" w:firstLine="0"/>
                            <w:jc w:val="left"/>
                            <w:rPr>
                              <w:rFonts w:ascii="等线" w:hAnsi="等线" w:eastAsia="等线" w:cs="等线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w w:val="101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等线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.5pt;margin-top:780.5pt;height:11.15pt;width:21.55pt;mso-position-horizontal-relative:page;mso-position-vertical-relative:page;z-index:-251657216;mso-width-relative:page;mso-height-relative:page;" filled="f" stroked="f" coordsize="21600,21600" o:gfxdata="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c0pXL2wAAAA0BAAAPAAAAAAAAAAEAIAAAACIAAABkcnMvZG93bnJldi54bWxQ&#10;SwECFAAUAAAACACHTuJACNBVMLsBAABxAwAADgAAAAAAAAABACAAAAAq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967A036">
                    <w:pPr>
                      <w:spacing w:before="0" w:line="204" w:lineRule="exact"/>
                      <w:ind w:left="44" w:right="0" w:firstLine="0"/>
                      <w:jc w:val="left"/>
                      <w:rPr>
                        <w:rFonts w:ascii="等线" w:hAnsi="等线" w:eastAsia="等线" w:cs="等线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等线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w w:val="101"/>
                        <w:sz w:val="18"/>
                      </w:rPr>
                      <w:t>/</w:t>
                    </w:r>
                    <w:r>
                      <w:rPr>
                        <w:rFonts w:ascii="等线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1"/>
      <w:ind w:left="119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2025-12-11T03:35:39Z</dcterms:created>
  <dc:creator>杭州泓友</dc:creator>
  <cp:lastModifiedBy>WPS_1715310677</cp:lastModifiedBy>
  <dcterms:modified xsi:type="dcterms:W3CDTF">2025-12-11T03:35:58Z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2C689DC4A5C84FA3A02E99DB709D5F7B_12</vt:lpwstr>
  </property>
</Properties>
</file>