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207D5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CCAE11F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E3E30E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54924A5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6C30C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8815B9A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08005F97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2E60812C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33C496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6B14CEB8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3EAF610B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D4F1A4B">
      <w:pPr>
        <w:spacing w:before="10" w:line="240" w:lineRule="auto"/>
        <w:rPr>
          <w:rFonts w:ascii="Times New Roman" w:hAnsi="Times New Roman" w:eastAsia="Times New Roman" w:cs="Times New Roman"/>
          <w:sz w:val="17"/>
          <w:szCs w:val="17"/>
        </w:rPr>
      </w:pPr>
    </w:p>
    <w:p w14:paraId="66EB0A19">
      <w:pPr>
        <w:spacing w:before="0" w:line="766" w:lineRule="exact"/>
        <w:ind w:left="315" w:right="287" w:firstLine="0"/>
        <w:jc w:val="center"/>
        <w:rPr>
          <w:rFonts w:ascii="Noto Sans SC Medium" w:hAnsi="Noto Sans SC Medium" w:eastAsia="Noto Sans SC Medium" w:cs="Noto Sans SC Medium"/>
          <w:sz w:val="58"/>
          <w:szCs w:val="58"/>
        </w:rPr>
      </w:pPr>
      <w:r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  <w:t>制药用水检查指南</w:t>
      </w:r>
    </w:p>
    <w:p w14:paraId="7D99155F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</w:pPr>
    </w:p>
    <w:p w14:paraId="4042C7EC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</w:pPr>
    </w:p>
    <w:p w14:paraId="42526357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</w:pPr>
    </w:p>
    <w:p w14:paraId="63B9EBB9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</w:pPr>
    </w:p>
    <w:p w14:paraId="2073F9C9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58"/>
          <w:szCs w:val="58"/>
        </w:rPr>
      </w:pPr>
    </w:p>
    <w:p w14:paraId="0F144448">
      <w:pPr>
        <w:spacing w:before="2" w:line="240" w:lineRule="auto"/>
        <w:rPr>
          <w:rFonts w:ascii="Noto Sans SC Medium" w:hAnsi="Noto Sans SC Medium" w:eastAsia="Noto Sans SC Medium" w:cs="Noto Sans SC Medium"/>
          <w:b w:val="0"/>
          <w:bCs w:val="0"/>
          <w:sz w:val="62"/>
          <w:szCs w:val="62"/>
        </w:rPr>
      </w:pPr>
    </w:p>
    <w:p w14:paraId="5BD7A82E">
      <w:pPr>
        <w:spacing w:before="0" w:line="784" w:lineRule="exact"/>
        <w:ind w:left="318" w:right="287" w:firstLine="0"/>
        <w:jc w:val="center"/>
        <w:rPr>
          <w:rFonts w:ascii="Noto Sans SC Medium" w:hAnsi="Noto Sans SC Medium" w:eastAsia="Noto Sans SC Medium" w:cs="Noto Sans SC Medium"/>
          <w:sz w:val="44"/>
          <w:szCs w:val="44"/>
        </w:rPr>
      </w:pPr>
      <w:r>
        <w:rPr>
          <w:rFonts w:ascii="Noto Sans SC Medium" w:hAnsi="Noto Sans SC Medium" w:eastAsia="Noto Sans SC Medium" w:cs="Noto Sans SC Medium"/>
          <w:b w:val="0"/>
          <w:bCs w:val="0"/>
          <w:spacing w:val="2"/>
          <w:w w:val="95"/>
          <w:sz w:val="44"/>
          <w:szCs w:val="44"/>
        </w:rPr>
        <w:t>国家药品监督管理局食品药品审核查验中心</w:t>
      </w:r>
      <w:r>
        <w:rPr>
          <w:rFonts w:ascii="Noto Sans SC Medium" w:hAnsi="Noto Sans SC Medium" w:eastAsia="Noto Sans SC Medium" w:cs="Noto Sans SC Medium"/>
          <w:b w:val="0"/>
          <w:bCs w:val="0"/>
          <w:spacing w:val="17"/>
          <w:w w:val="95"/>
          <w:sz w:val="44"/>
          <w:szCs w:val="44"/>
        </w:rPr>
        <w:t xml:space="preserve"> </w:t>
      </w:r>
      <w:r>
        <w:rPr>
          <w:rFonts w:ascii="Noto Sans SC Medium" w:hAnsi="Noto Sans SC Medium" w:eastAsia="Noto Sans SC Medium" w:cs="Noto Sans SC Medium"/>
          <w:b w:val="0"/>
          <w:bCs w:val="0"/>
          <w:sz w:val="44"/>
          <w:szCs w:val="44"/>
        </w:rPr>
        <w:t>2026</w:t>
      </w:r>
      <w:r>
        <w:rPr>
          <w:rFonts w:ascii="Noto Sans SC Medium" w:hAnsi="Noto Sans SC Medium" w:eastAsia="Noto Sans SC Medium" w:cs="Noto Sans SC Medium"/>
          <w:b w:val="0"/>
          <w:bCs w:val="0"/>
          <w:spacing w:val="-35"/>
          <w:sz w:val="44"/>
          <w:szCs w:val="44"/>
        </w:rPr>
        <w:t xml:space="preserve"> </w:t>
      </w:r>
      <w:r>
        <w:rPr>
          <w:rFonts w:ascii="Noto Sans SC Medium" w:hAnsi="Noto Sans SC Medium" w:eastAsia="Noto Sans SC Medium" w:cs="Noto Sans SC Medium"/>
          <w:b w:val="0"/>
          <w:bCs w:val="0"/>
          <w:sz w:val="44"/>
          <w:szCs w:val="44"/>
        </w:rPr>
        <w:t>年</w:t>
      </w:r>
      <w:r>
        <w:rPr>
          <w:rFonts w:ascii="Noto Sans SC Medium" w:hAnsi="Noto Sans SC Medium" w:eastAsia="Noto Sans SC Medium" w:cs="Noto Sans SC Medium"/>
          <w:b w:val="0"/>
          <w:bCs w:val="0"/>
          <w:spacing w:val="-34"/>
          <w:sz w:val="44"/>
          <w:szCs w:val="44"/>
        </w:rPr>
        <w:t xml:space="preserve"> </w:t>
      </w:r>
      <w:r>
        <w:rPr>
          <w:rFonts w:ascii="Noto Sans SC Medium" w:hAnsi="Noto Sans SC Medium" w:eastAsia="Noto Sans SC Medium" w:cs="Noto Sans SC Medium"/>
          <w:b w:val="0"/>
          <w:bCs w:val="0"/>
          <w:sz w:val="44"/>
          <w:szCs w:val="44"/>
        </w:rPr>
        <w:t>3</w:t>
      </w:r>
      <w:r>
        <w:rPr>
          <w:rFonts w:ascii="Noto Sans SC Medium" w:hAnsi="Noto Sans SC Medium" w:eastAsia="Noto Sans SC Medium" w:cs="Noto Sans SC Medium"/>
          <w:b w:val="0"/>
          <w:bCs w:val="0"/>
          <w:spacing w:val="-35"/>
          <w:sz w:val="44"/>
          <w:szCs w:val="44"/>
        </w:rPr>
        <w:t xml:space="preserve"> </w:t>
      </w:r>
      <w:r>
        <w:rPr>
          <w:rFonts w:ascii="Noto Sans SC Medium" w:hAnsi="Noto Sans SC Medium" w:eastAsia="Noto Sans SC Medium" w:cs="Noto Sans SC Medium"/>
          <w:b w:val="0"/>
          <w:bCs w:val="0"/>
          <w:sz w:val="44"/>
          <w:szCs w:val="44"/>
        </w:rPr>
        <w:t>月</w:t>
      </w:r>
    </w:p>
    <w:p w14:paraId="431585A9">
      <w:pPr>
        <w:spacing w:after="0" w:line="784" w:lineRule="exact"/>
        <w:jc w:val="center"/>
        <w:rPr>
          <w:rFonts w:ascii="Noto Sans SC Medium" w:hAnsi="Noto Sans SC Medium" w:eastAsia="Noto Sans SC Medium" w:cs="Noto Sans SC Medium"/>
          <w:sz w:val="44"/>
          <w:szCs w:val="44"/>
        </w:rPr>
        <w:sectPr>
          <w:pgSz w:w="11910" w:h="16840"/>
          <w:pgMar w:top="1580" w:right="1600" w:bottom="280" w:left="1680" w:header="720" w:footer="720" w:gutter="0"/>
          <w:cols w:space="720" w:num="1"/>
        </w:sectPr>
      </w:pPr>
    </w:p>
    <w:p w14:paraId="06E7C50A">
      <w:pPr>
        <w:spacing w:before="0" w:line="240" w:lineRule="auto"/>
        <w:rPr>
          <w:rFonts w:ascii="Noto Sans SC Medium" w:hAnsi="Noto Sans SC Medium" w:eastAsia="Noto Sans SC Medium" w:cs="Noto Sans SC Medium"/>
          <w:b w:val="0"/>
          <w:bCs w:val="0"/>
          <w:sz w:val="20"/>
          <w:szCs w:val="20"/>
        </w:rPr>
      </w:pPr>
    </w:p>
    <w:p w14:paraId="1DB34DD7">
      <w:pPr>
        <w:spacing w:before="5" w:line="240" w:lineRule="auto"/>
        <w:rPr>
          <w:rFonts w:ascii="Noto Sans SC Medium" w:hAnsi="Noto Sans SC Medium" w:eastAsia="Noto Sans SC Medium" w:cs="Noto Sans SC Medium"/>
          <w:b w:val="0"/>
          <w:bCs w:val="0"/>
          <w:sz w:val="15"/>
          <w:szCs w:val="15"/>
        </w:rPr>
      </w:pPr>
    </w:p>
    <w:p w14:paraId="7730A142">
      <w:pPr>
        <w:tabs>
          <w:tab w:val="left" w:pos="878"/>
        </w:tabs>
        <w:spacing w:before="0" w:line="494" w:lineRule="exact"/>
        <w:ind w:left="0" w:right="7" w:firstLine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w w:val="95"/>
          <w:sz w:val="44"/>
          <w:szCs w:val="44"/>
        </w:rPr>
        <w:t>目</w:t>
      </w:r>
      <w:r>
        <w:rPr>
          <w:rFonts w:ascii="宋体" w:hAnsi="宋体" w:eastAsia="宋体" w:cs="宋体"/>
          <w:w w:val="95"/>
          <w:sz w:val="44"/>
          <w:szCs w:val="44"/>
        </w:rPr>
        <w:tab/>
      </w:r>
      <w:r>
        <w:rPr>
          <w:rFonts w:ascii="宋体" w:hAnsi="宋体" w:eastAsia="宋体" w:cs="宋体"/>
          <w:sz w:val="44"/>
          <w:szCs w:val="44"/>
        </w:rPr>
        <w:t>录</w:t>
      </w:r>
    </w:p>
    <w:p w14:paraId="1339DE24">
      <w:pPr>
        <w:tabs>
          <w:tab w:val="right" w:leader="dot" w:pos="8847"/>
        </w:tabs>
        <w:spacing w:before="413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一、概述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502F4021">
      <w:pPr>
        <w:tabs>
          <w:tab w:val="right" w:leader="dot" w:pos="8847"/>
        </w:tabs>
        <w:spacing w:before="129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二、目的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0C30A61">
      <w:pPr>
        <w:tabs>
          <w:tab w:val="right" w:leader="dot" w:pos="8847"/>
        </w:tabs>
        <w:spacing w:before="129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三、适用范围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E2C87B6">
      <w:pPr>
        <w:tabs>
          <w:tab w:val="right" w:leader="dot" w:pos="8847"/>
        </w:tabs>
        <w:spacing w:before="129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四、制药用水风险管理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8910F6B">
      <w:pPr>
        <w:tabs>
          <w:tab w:val="right" w:leader="dot" w:pos="8953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1.质量风险管理基本原则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36113923">
      <w:pPr>
        <w:tabs>
          <w:tab w:val="right" w:leader="dot" w:pos="8953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2.质量风险评估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"_bookmark5"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247F58B">
      <w:pPr>
        <w:tabs>
          <w:tab w:val="right" w:leader="dot" w:pos="8847"/>
        </w:tabs>
        <w:spacing w:before="129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五、饮用水检查要点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"_bookmark6"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2C349B1">
      <w:pPr>
        <w:tabs>
          <w:tab w:val="right" w:leader="dot" w:pos="8847"/>
        </w:tabs>
        <w:spacing w:before="126"/>
        <w:ind w:left="0" w:right="3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六、纯化水检查要点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"_bookmark7"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5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4B1D5CD">
      <w:pPr>
        <w:tabs>
          <w:tab w:val="right" w:leader="dot" w:pos="8953"/>
        </w:tabs>
        <w:spacing w:before="131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（一）纯化水制备系统概述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"_bookmark8"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5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988B604">
      <w:pPr>
        <w:tabs>
          <w:tab w:val="right" w:leader="dot" w:pos="8953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1.水质预处理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"_bookmark9"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5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15246CDF">
      <w:pPr>
        <w:tabs>
          <w:tab w:val="right" w:leader="dot" w:pos="8953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2.纯化水制备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5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52F25408">
      <w:pPr>
        <w:tabs>
          <w:tab w:val="right" w:leader="dot" w:pos="8953"/>
        </w:tabs>
        <w:spacing w:before="126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（二）纯化水储存与分配系统概述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"_bookmark11"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121C9B9">
      <w:pPr>
        <w:tabs>
          <w:tab w:val="right" w:leader="dot" w:pos="8953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（三）纯化水系统检查要点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DA87F42">
      <w:pPr>
        <w:tabs>
          <w:tab w:val="right" w:leader="dot" w:pos="8953"/>
        </w:tabs>
        <w:spacing w:before="131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1.纯化水系统的确认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50FFF71">
      <w:pPr>
        <w:tabs>
          <w:tab w:val="right" w:leader="dot" w:pos="8951"/>
        </w:tabs>
        <w:spacing w:before="126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2.纯化水系统日常运行与维护保养方面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09E26F59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3.水质监测方面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"_bookmark15"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9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332E906D">
      <w:pPr>
        <w:tabs>
          <w:tab w:val="right" w:leader="dot" w:pos="8844"/>
        </w:tabs>
        <w:spacing w:before="129"/>
        <w:ind w:left="0" w:right="6" w:firstLine="0"/>
        <w:jc w:val="center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七、注射用水检查要点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"_bookmark16"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0FBDAB23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（一）注射用水制备系统概述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"_bookmark17"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5E38E58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1.蒸馏法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"_bookmark18"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69E454B4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2.非蒸馏法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"_bookmark19"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0FACD1E1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（二）注射用水储存与分配系统概述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6F3C27D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"_bookmark21"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（三）注射用水系统检查要点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"_bookmark21"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"_bookmark21"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6CEE22FE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1.注射用水系统的确认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39ED30A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2.注射用水系统日常运行与维护保养方面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2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9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7BAC9AA3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"_bookmark24"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3.水质监测方面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5126C84B">
      <w:pPr>
        <w:spacing w:after="0"/>
        <w:jc w:val="left"/>
        <w:rPr>
          <w:rFonts w:ascii="等线" w:hAnsi="等线" w:eastAsia="等线" w:cs="等线"/>
          <w:sz w:val="22"/>
          <w:szCs w:val="22"/>
        </w:rPr>
        <w:sectPr>
          <w:pgSz w:w="11910" w:h="16840"/>
          <w:pgMar w:top="1580" w:right="1360" w:bottom="280" w:left="1480" w:header="720" w:footer="720" w:gutter="0"/>
          <w:cols w:space="720" w:num="1"/>
        </w:sectPr>
      </w:pPr>
    </w:p>
    <w:p w14:paraId="71DA1521">
      <w:pPr>
        <w:tabs>
          <w:tab w:val="right" w:leader="dot" w:pos="8951"/>
        </w:tabs>
        <w:spacing w:before="47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4.非蒸馏法制备注射用水检查要点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"_bookmark25"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48BFD7D">
      <w:pPr>
        <w:tabs>
          <w:tab w:val="right" w:leader="dot" w:pos="8951"/>
        </w:tabs>
        <w:spacing w:before="129"/>
        <w:ind w:left="106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"_bookmark26"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八、纯蒸汽检查要点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"_bookmark26"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"_bookmark26"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1DC53B10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"_bookmark27"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（一）纯蒸汽制备系统概述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"_bookmark27"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"_bookmark27"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5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A93CE96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（二）纯蒸汽分配系统概述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"_bookmark28"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445B8BE">
      <w:pPr>
        <w:tabs>
          <w:tab w:val="right" w:leader="dot" w:pos="8951"/>
        </w:tabs>
        <w:spacing w:before="129"/>
        <w:ind w:left="327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"_bookmark29"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（三）纯蒸汽系统检查要点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"_bookmark29"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"_bookmark29"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2F0EB92A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1.纯蒸汽系统的确认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3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"_bookmark30"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6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0E5BB256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2.纯蒸汽系统日常运行及维护保养方面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"_bookmark32"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655A3BC0">
      <w:pPr>
        <w:tabs>
          <w:tab w:val="right" w:leader="dot" w:pos="8951"/>
        </w:tabs>
        <w:spacing w:before="129"/>
        <w:ind w:left="548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"_bookmark33" </w:instrText>
      </w:r>
      <w:r>
        <w:fldChar w:fldCharType="separate"/>
      </w:r>
      <w:r>
        <w:rPr>
          <w:rFonts w:ascii="宋体" w:hAnsi="宋体" w:eastAsia="宋体" w:cs="宋体"/>
          <w:sz w:val="22"/>
          <w:szCs w:val="22"/>
        </w:rPr>
        <w:t>3.回顾分析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"_bookmark33"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"_bookmark33"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61ABBC8D">
      <w:pPr>
        <w:tabs>
          <w:tab w:val="right" w:leader="dot" w:pos="8951"/>
        </w:tabs>
        <w:spacing w:before="129"/>
        <w:ind w:left="106" w:right="0" w:firstLine="0"/>
        <w:jc w:val="left"/>
        <w:rPr>
          <w:rFonts w:ascii="等线" w:hAnsi="等线" w:eastAsia="等线" w:cs="等线"/>
          <w:sz w:val="22"/>
          <w:szCs w:val="22"/>
        </w:rPr>
      </w:pPr>
      <w:r>
        <w:fldChar w:fldCharType="begin"/>
      </w:r>
      <w:r>
        <w:instrText xml:space="preserve"> HYPERLINK \l "_bookmark34" </w:instrText>
      </w:r>
      <w:r>
        <w:fldChar w:fldCharType="separate"/>
      </w:r>
      <w:r>
        <w:rPr>
          <w:rFonts w:ascii="黑体" w:hAnsi="黑体" w:eastAsia="黑体" w:cs="黑体"/>
          <w:sz w:val="22"/>
          <w:szCs w:val="22"/>
        </w:rPr>
        <w:t>参考法规、指南和文献</w:t>
      </w:r>
      <w:r>
        <w:rPr>
          <w:rFonts w:ascii="Times New Roman" w:hAnsi="Times New Roman" w:eastAsia="Times New Roman" w:cs="Times New Roman"/>
          <w:sz w:val="22"/>
          <w:szCs w:val="22"/>
        </w:rPr>
        <w:fldChar w:fldCharType="end"/>
      </w:r>
      <w:r>
        <w:rPr>
          <w:rFonts w:ascii="Times New Roman" w:hAnsi="Times New Roman" w:eastAsia="Times New Roman" w:cs="Times New Roman"/>
          <w:sz w:val="22"/>
          <w:szCs w:val="22"/>
        </w:rPr>
        <w:tab/>
      </w:r>
      <w:r>
        <w:fldChar w:fldCharType="begin"/>
      </w:r>
      <w:r>
        <w:instrText xml:space="preserve"> HYPERLINK \l "_bookmark34"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4</w:t>
      </w:r>
      <w:r>
        <w:rPr>
          <w:rFonts w:ascii="等线" w:hAnsi="等线" w:eastAsia="等线" w:cs="等线"/>
          <w:sz w:val="22"/>
          <w:szCs w:val="22"/>
        </w:rPr>
        <w:fldChar w:fldCharType="end"/>
      </w:r>
      <w:r>
        <w:fldChar w:fldCharType="begin"/>
      </w:r>
      <w:r>
        <w:instrText xml:space="preserve"> HYPERLINK \l "_bookmark34" </w:instrText>
      </w:r>
      <w:r>
        <w:fldChar w:fldCharType="separate"/>
      </w:r>
      <w:r>
        <w:rPr>
          <w:rFonts w:ascii="等线" w:hAnsi="等线" w:eastAsia="等线" w:cs="等线"/>
          <w:sz w:val="22"/>
          <w:szCs w:val="22"/>
        </w:rPr>
        <w:t>1</w:t>
      </w:r>
      <w:r>
        <w:rPr>
          <w:rFonts w:ascii="等线" w:hAnsi="等线" w:eastAsia="等线" w:cs="等线"/>
          <w:sz w:val="22"/>
          <w:szCs w:val="22"/>
        </w:rPr>
        <w:fldChar w:fldCharType="end"/>
      </w:r>
    </w:p>
    <w:p w14:paraId="44D7668F">
      <w:pPr>
        <w:spacing w:after="0"/>
        <w:jc w:val="left"/>
        <w:rPr>
          <w:rFonts w:ascii="等线" w:hAnsi="等线" w:eastAsia="等线" w:cs="等线"/>
          <w:sz w:val="22"/>
          <w:szCs w:val="22"/>
        </w:rPr>
        <w:sectPr>
          <w:pgSz w:w="11910" w:h="16840"/>
          <w:pgMar w:top="1580" w:right="1360" w:bottom="280" w:left="1480" w:header="720" w:footer="720" w:gutter="0"/>
          <w:cols w:space="720" w:num="1"/>
        </w:sectPr>
      </w:pPr>
    </w:p>
    <w:p w14:paraId="31BCC3F4">
      <w:pPr>
        <w:spacing w:before="10" w:line="240" w:lineRule="auto"/>
        <w:rPr>
          <w:rFonts w:ascii="等线" w:hAnsi="等线" w:eastAsia="等线" w:cs="等线"/>
          <w:sz w:val="31"/>
          <w:szCs w:val="31"/>
        </w:rPr>
      </w:pPr>
    </w:p>
    <w:p w14:paraId="45A9E8A1">
      <w:pPr>
        <w:spacing w:before="0"/>
        <w:ind w:left="2768" w:right="0" w:firstLine="0"/>
        <w:jc w:val="left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制药用水检查指南</w:t>
      </w:r>
    </w:p>
    <w:p w14:paraId="0E611199">
      <w:pPr>
        <w:spacing w:before="0" w:line="240" w:lineRule="auto"/>
        <w:rPr>
          <w:rFonts w:ascii="宋体" w:hAnsi="宋体" w:eastAsia="宋体" w:cs="宋体"/>
          <w:sz w:val="44"/>
          <w:szCs w:val="44"/>
        </w:rPr>
      </w:pPr>
    </w:p>
    <w:p w14:paraId="11E0D61E">
      <w:pPr>
        <w:spacing w:before="12" w:line="240" w:lineRule="auto"/>
        <w:rPr>
          <w:rFonts w:ascii="宋体" w:hAnsi="宋体" w:eastAsia="宋体" w:cs="宋体"/>
          <w:sz w:val="32"/>
          <w:szCs w:val="32"/>
        </w:rPr>
      </w:pPr>
    </w:p>
    <w:p w14:paraId="6C54D611">
      <w:pPr>
        <w:pStyle w:val="2"/>
        <w:spacing w:before="0" w:line="240" w:lineRule="auto"/>
        <w:ind w:left="747" w:right="0"/>
        <w:jc w:val="left"/>
        <w:rPr>
          <w:rFonts w:ascii="黑体" w:hAnsi="黑体" w:eastAsia="黑体" w:cs="黑体"/>
        </w:rPr>
      </w:pPr>
      <w:bookmarkStart w:id="0" w:name="一、概述"/>
      <w:bookmarkEnd w:id="0"/>
      <w:bookmarkStart w:id="1" w:name="_bookmark0"/>
      <w:bookmarkEnd w:id="1"/>
      <w:r>
        <w:rPr>
          <w:rFonts w:ascii="黑体" w:hAnsi="黑体" w:eastAsia="黑体" w:cs="黑体"/>
        </w:rPr>
        <w:t>一、概述</w:t>
      </w:r>
    </w:p>
    <w:p w14:paraId="441BD76A">
      <w:pPr>
        <w:pStyle w:val="2"/>
        <w:spacing w:before="140" w:line="316" w:lineRule="auto"/>
        <w:ind w:right="271" w:firstLine="640"/>
        <w:jc w:val="both"/>
      </w:pPr>
      <w:r>
        <w:rPr>
          <w:spacing w:val="8"/>
        </w:rPr>
        <w:t>制药用水通常是指制药工艺过程中用到的符合各种质量标</w:t>
      </w:r>
      <w:r>
        <w:rPr>
          <w:w w:val="99"/>
        </w:rPr>
        <w:t xml:space="preserve"> </w:t>
      </w:r>
      <w:r>
        <w:rPr>
          <w:spacing w:val="-4"/>
          <w:w w:val="95"/>
        </w:rPr>
        <w:t>准的水，参与了相关的生产工艺过程，因此制药用水制备、储存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与分配系统的稳定性直接或间接地影响药品质量，属于风险较高</w:t>
      </w:r>
      <w:r>
        <w:rPr>
          <w:spacing w:val="136"/>
          <w:w w:val="95"/>
        </w:rPr>
        <w:t xml:space="preserve"> </w:t>
      </w:r>
      <w:r>
        <w:rPr>
          <w:spacing w:val="23"/>
        </w:rPr>
        <w:t>的公用系统，</w:t>
      </w:r>
      <w:r>
        <w:rPr>
          <w:spacing w:val="-137"/>
        </w:rPr>
        <w:t xml:space="preserve"> </w:t>
      </w:r>
      <w:r>
        <w:rPr>
          <w:spacing w:val="25"/>
        </w:rPr>
        <w:t>并应当作为药品污染控制策略（</w:t>
      </w:r>
      <w:r>
        <w:rPr>
          <w:spacing w:val="-137"/>
        </w:rPr>
        <w:t xml:space="preserve"> </w:t>
      </w:r>
      <w:r>
        <w:rPr>
          <w:rFonts w:ascii="Times New Roman" w:hAnsi="Times New Roman" w:eastAsia="Times New Roman" w:cs="Times New Roman"/>
        </w:rPr>
        <w:t>Contamination</w:t>
      </w:r>
      <w:r>
        <w:rPr>
          <w:rFonts w:ascii="Times New Roman" w:hAnsi="Times New Roman" w:eastAsia="Times New Roman" w:cs="Times New Roman"/>
          <w:w w:val="99"/>
        </w:rPr>
        <w:t xml:space="preserve"> </w:t>
      </w:r>
      <w:r>
        <w:rPr>
          <w:rFonts w:ascii="Times New Roman" w:hAnsi="Times New Roman" w:eastAsia="Times New Roman" w:cs="Times New Roman"/>
        </w:rPr>
        <w:t>Control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Strategy</w:t>
      </w:r>
      <w:r>
        <w:rPr>
          <w:spacing w:val="12"/>
        </w:rPr>
        <w:t>，</w:t>
      </w:r>
      <w:r>
        <w:rPr>
          <w:rFonts w:ascii="Times New Roman" w:hAnsi="Times New Roman" w:eastAsia="Times New Roman" w:cs="Times New Roman"/>
          <w:spacing w:val="12"/>
        </w:rPr>
        <w:t>CCS</w:t>
      </w:r>
      <w:r>
        <w:rPr>
          <w:spacing w:val="12"/>
        </w:rPr>
        <w:t>）的一部分，是药品生产质量管理规范</w:t>
      </w:r>
    </w:p>
    <w:p w14:paraId="641B2263">
      <w:pPr>
        <w:pStyle w:val="2"/>
        <w:spacing w:before="5" w:line="302" w:lineRule="auto"/>
        <w:ind w:left="747" w:right="0" w:hanging="641"/>
        <w:jc w:val="left"/>
      </w:pPr>
      <w:r>
        <w:t>（</w:t>
      </w:r>
      <w:r>
        <w:rPr>
          <w:rFonts w:ascii="Times New Roman" w:hAnsi="Times New Roman" w:eastAsia="Times New Roman" w:cs="Times New Roman"/>
        </w:rPr>
        <w:t>Good Manufacturing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rFonts w:ascii="Times New Roman" w:hAnsi="Times New Roman" w:eastAsia="Times New Roman" w:cs="Times New Roman"/>
        </w:rPr>
        <w:t>Practice</w:t>
      </w:r>
      <w:r>
        <w:t>，</w:t>
      </w:r>
      <w:r>
        <w:rPr>
          <w:rFonts w:ascii="Times New Roman" w:hAnsi="Times New Roman" w:eastAsia="Times New Roman" w:cs="Times New Roman"/>
        </w:rPr>
        <w:t>GMP</w:t>
      </w:r>
      <w:r>
        <w:t>）管理的重要组成部分。</w:t>
      </w:r>
      <w:r>
        <w:rPr>
          <w:w w:val="99"/>
        </w:rPr>
        <w:t xml:space="preserve"> </w:t>
      </w:r>
      <w:r>
        <w:rPr>
          <w:spacing w:val="-4"/>
          <w:w w:val="95"/>
        </w:rPr>
        <w:t>纯蒸汽是指化学纯度有特殊要求的饱和蒸汽，不含任何化学</w:t>
      </w:r>
    </w:p>
    <w:p w14:paraId="7D5D3903">
      <w:pPr>
        <w:pStyle w:val="2"/>
        <w:spacing w:before="57" w:line="321" w:lineRule="auto"/>
        <w:ind w:right="0"/>
        <w:jc w:val="left"/>
      </w:pPr>
      <w:r>
        <w:rPr>
          <w:spacing w:val="-4"/>
          <w:w w:val="95"/>
        </w:rPr>
        <w:t>添加剂，是制药企业最重要的一种湿热灭菌和微生物负荷控制的</w:t>
      </w:r>
      <w:r>
        <w:rPr>
          <w:spacing w:val="136"/>
          <w:w w:val="95"/>
        </w:rPr>
        <w:t xml:space="preserve"> </w:t>
      </w:r>
      <w:r>
        <w:t>介质，因此将纯蒸汽纳入本指南。</w:t>
      </w:r>
    </w:p>
    <w:p w14:paraId="031A49B6">
      <w:pPr>
        <w:pStyle w:val="2"/>
        <w:spacing w:line="319" w:lineRule="auto"/>
        <w:ind w:right="0" w:firstLine="640"/>
        <w:jc w:val="left"/>
      </w:pPr>
      <w:r>
        <w:rPr>
          <w:spacing w:val="-4"/>
        </w:rPr>
        <w:t>制药用水应当与产品工艺相结合，符合其预定用途及相关法</w:t>
      </w:r>
      <w:r>
        <w:rPr>
          <w:w w:val="99"/>
        </w:rPr>
        <w:t xml:space="preserve"> </w:t>
      </w:r>
      <w:r>
        <w:rPr>
          <w:spacing w:val="-4"/>
        </w:rPr>
        <w:t>律法规要求，制药用水系统的设计、安装、确认、运行、维护和</w:t>
      </w:r>
      <w:r>
        <w:rPr>
          <w:w w:val="99"/>
        </w:rPr>
        <w:t xml:space="preserve"> </w:t>
      </w:r>
      <w:r>
        <w:rPr>
          <w:spacing w:val="-4"/>
        </w:rPr>
        <w:t>监测等应当满足《药品生产质量管理规范》及附录的规定，并确</w:t>
      </w:r>
      <w:r>
        <w:rPr>
          <w:w w:val="99"/>
        </w:rPr>
        <w:t xml:space="preserve"> </w:t>
      </w:r>
      <w:r>
        <w:rPr>
          <w:spacing w:val="-9"/>
          <w:w w:val="95"/>
        </w:rPr>
        <w:t>保水质持续符合《中华人民共和国药典》等国家标准及相关要求。</w:t>
      </w:r>
      <w:r>
        <w:rPr>
          <w:spacing w:val="1"/>
          <w:w w:val="95"/>
        </w:rPr>
        <w:t xml:space="preserve"> </w:t>
      </w:r>
      <w:r>
        <w:rPr>
          <w:spacing w:val="-4"/>
        </w:rPr>
        <w:t>同时供国内及出口产品使用的制药用水系统，应当执行国内及出</w:t>
      </w:r>
      <w:r>
        <w:rPr>
          <w:w w:val="99"/>
        </w:rPr>
        <w:t xml:space="preserve"> </w:t>
      </w:r>
      <w:r>
        <w:t>口国相关法规及要求。制药用水相关要求可参考《</w:t>
      </w:r>
      <w:r>
        <w:rPr>
          <w:rFonts w:ascii="Times New Roman" w:hAnsi="Times New Roman" w:eastAsia="Times New Roman" w:cs="Times New Roman"/>
        </w:rPr>
        <w:t>WHO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t>：</w:t>
      </w:r>
      <w:r>
        <w:rPr>
          <w:w w:val="99"/>
        </w:rPr>
        <w:t xml:space="preserve"> </w:t>
      </w:r>
      <w:r>
        <w:t>制药用水》、</w:t>
      </w:r>
      <w:r>
        <w:rPr>
          <w:rFonts w:ascii="Times New Roman" w:hAnsi="Times New Roman" w:eastAsia="Times New Roman" w:cs="Times New Roman"/>
        </w:rPr>
        <w:t>EMA</w:t>
      </w:r>
      <w:r>
        <w:t>《制药用水质量指南》等规定。</w:t>
      </w:r>
    </w:p>
    <w:p w14:paraId="5578A530">
      <w:pPr>
        <w:pStyle w:val="2"/>
        <w:spacing w:before="0" w:line="418" w:lineRule="exact"/>
        <w:ind w:left="747" w:right="0"/>
        <w:jc w:val="left"/>
        <w:rPr>
          <w:rFonts w:ascii="黑体" w:hAnsi="黑体" w:eastAsia="黑体" w:cs="黑体"/>
        </w:rPr>
      </w:pPr>
      <w:bookmarkStart w:id="2" w:name="_bookmark1"/>
      <w:bookmarkEnd w:id="2"/>
      <w:bookmarkStart w:id="3" w:name="二、目的"/>
      <w:bookmarkEnd w:id="3"/>
      <w:r>
        <w:rPr>
          <w:rFonts w:ascii="黑体" w:hAnsi="黑体" w:eastAsia="黑体" w:cs="黑体"/>
        </w:rPr>
        <w:t>二、目的</w:t>
      </w:r>
    </w:p>
    <w:p w14:paraId="436C8B94">
      <w:pPr>
        <w:pStyle w:val="2"/>
        <w:spacing w:before="143" w:line="240" w:lineRule="auto"/>
        <w:ind w:left="747" w:right="0"/>
        <w:jc w:val="left"/>
      </w:pPr>
      <w:r>
        <w:rPr>
          <w:spacing w:val="-4"/>
        </w:rPr>
        <w:t>制药用水检查指南以制药用水的制备原理为基础，以质量风</w:t>
      </w:r>
    </w:p>
    <w:p w14:paraId="6C797911">
      <w:pPr>
        <w:spacing w:after="0" w:line="240" w:lineRule="auto"/>
        <w:jc w:val="left"/>
        <w:sectPr>
          <w:footerReference r:id="rId5" w:type="default"/>
          <w:pgSz w:w="11910" w:h="16840"/>
          <w:pgMar w:top="1580" w:right="1200" w:bottom="2480" w:left="1480" w:header="0" w:footer="2285" w:gutter="0"/>
          <w:cols w:space="720" w:num="1"/>
        </w:sectPr>
      </w:pPr>
    </w:p>
    <w:p w14:paraId="31FF1A37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1F60E861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E680737">
      <w:pPr>
        <w:pStyle w:val="2"/>
        <w:spacing w:before="0" w:line="321" w:lineRule="auto"/>
        <w:ind w:right="111"/>
        <w:jc w:val="both"/>
      </w:pPr>
      <w:r>
        <w:rPr>
          <w:spacing w:val="-4"/>
          <w:w w:val="95"/>
        </w:rPr>
        <w:t>险管理为原则，以最终确保药品质量和患者安全为目的，结合现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代先进制造理念和技术的应用，分别对饮用水、纯化水、注射用</w:t>
      </w:r>
      <w:r>
        <w:rPr>
          <w:spacing w:val="135"/>
          <w:w w:val="95"/>
        </w:rPr>
        <w:t xml:space="preserve"> </w:t>
      </w:r>
      <w:r>
        <w:rPr>
          <w:spacing w:val="-4"/>
          <w:w w:val="95"/>
        </w:rPr>
        <w:t>水及纯蒸汽四类进行了介绍，同时结合目前制药用水行业现状及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制药企业对制药用水系统控制情况确定现场检查要点，旨在帮助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检查员识别制药用水的风险控制点，指导检查员开展现场检查工</w:t>
      </w:r>
      <w:r>
        <w:rPr>
          <w:spacing w:val="136"/>
          <w:w w:val="95"/>
        </w:rPr>
        <w:t xml:space="preserve"> </w:t>
      </w:r>
      <w:r>
        <w:t>作。</w:t>
      </w:r>
    </w:p>
    <w:p w14:paraId="113B7B98">
      <w:pPr>
        <w:pStyle w:val="2"/>
        <w:spacing w:before="34" w:line="321" w:lineRule="auto"/>
        <w:ind w:right="111" w:firstLine="640"/>
        <w:jc w:val="both"/>
      </w:pPr>
      <w:r>
        <w:rPr>
          <w:spacing w:val="-4"/>
          <w:w w:val="95"/>
        </w:rPr>
        <w:t>本指南基于当前认知与科技水平制定，并不限制新理念、新</w:t>
      </w:r>
      <w:r>
        <w:rPr>
          <w:w w:val="99"/>
        </w:rPr>
        <w:t xml:space="preserve"> </w:t>
      </w:r>
      <w:r>
        <w:rPr>
          <w:spacing w:val="-4"/>
          <w:w w:val="95"/>
        </w:rPr>
        <w:t>技术与新方法的引入。随着未来科学技术发展、认知深入和经验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积累，结合新的法律法规，如制药用水经过确认，并证明所用方</w:t>
      </w:r>
      <w:r>
        <w:rPr>
          <w:spacing w:val="135"/>
          <w:w w:val="95"/>
        </w:rPr>
        <w:t xml:space="preserve"> </w:t>
      </w:r>
      <w:r>
        <w:rPr>
          <w:spacing w:val="-4"/>
          <w:w w:val="95"/>
        </w:rPr>
        <w:t>法能达到至少与本指南所述方法同等的质量保证水平，也应当予</w:t>
      </w:r>
      <w:r>
        <w:rPr>
          <w:spacing w:val="134"/>
          <w:w w:val="95"/>
        </w:rPr>
        <w:t xml:space="preserve"> </w:t>
      </w:r>
      <w:r>
        <w:t>以认可。</w:t>
      </w:r>
    </w:p>
    <w:p w14:paraId="4B68FC07">
      <w:pPr>
        <w:pStyle w:val="2"/>
        <w:spacing w:before="12" w:line="240" w:lineRule="auto"/>
        <w:ind w:left="747" w:right="0"/>
        <w:jc w:val="left"/>
        <w:rPr>
          <w:rFonts w:ascii="黑体" w:hAnsi="黑体" w:eastAsia="黑体" w:cs="黑体"/>
        </w:rPr>
      </w:pPr>
      <w:bookmarkStart w:id="4" w:name="_bookmark2"/>
      <w:bookmarkEnd w:id="4"/>
      <w:bookmarkStart w:id="5" w:name="三、适用范围"/>
      <w:bookmarkEnd w:id="5"/>
      <w:r>
        <w:rPr>
          <w:rFonts w:ascii="黑体" w:hAnsi="黑体" w:eastAsia="黑体" w:cs="黑体"/>
        </w:rPr>
        <w:t>三、适用范围</w:t>
      </w:r>
    </w:p>
    <w:p w14:paraId="08E7C1FA">
      <w:pPr>
        <w:pStyle w:val="2"/>
        <w:spacing w:before="224" w:line="312" w:lineRule="auto"/>
        <w:ind w:right="111" w:firstLine="640"/>
        <w:jc w:val="both"/>
      </w:pPr>
      <w:r>
        <w:t>本指南作为药品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t>符合性检查中制药用水现场检查的技</w:t>
      </w:r>
      <w:r>
        <w:rPr>
          <w:w w:val="99"/>
        </w:rPr>
        <w:t xml:space="preserve"> </w:t>
      </w:r>
      <w:r>
        <w:rPr>
          <w:spacing w:val="-4"/>
          <w:w w:val="95"/>
        </w:rPr>
        <w:t>术指导文件，适用于药品生产企业所用饮用水、纯化水、注射用</w:t>
      </w:r>
      <w:r>
        <w:rPr>
          <w:spacing w:val="135"/>
          <w:w w:val="95"/>
        </w:rPr>
        <w:t xml:space="preserve"> </w:t>
      </w:r>
      <w:r>
        <w:rPr>
          <w:spacing w:val="5"/>
          <w:w w:val="95"/>
        </w:rPr>
        <w:t>水、纯蒸汽的制备</w:t>
      </w:r>
      <w:r>
        <w:rPr>
          <w:rFonts w:ascii="Times New Roman" w:hAnsi="Times New Roman" w:eastAsia="Times New Roman" w:cs="Times New Roman"/>
          <w:spacing w:val="5"/>
          <w:w w:val="95"/>
        </w:rPr>
        <w:t>/</w:t>
      </w:r>
      <w:r>
        <w:rPr>
          <w:spacing w:val="5"/>
          <w:w w:val="95"/>
        </w:rPr>
        <w:t>分配系统的现场检查。生产及检验过程用到</w:t>
      </w:r>
      <w:r>
        <w:rPr>
          <w:spacing w:val="100"/>
          <w:w w:val="95"/>
        </w:rPr>
        <w:t xml:space="preserve"> </w:t>
      </w:r>
      <w:r>
        <w:rPr>
          <w:spacing w:val="7"/>
        </w:rPr>
        <w:t>的其他制药用水的检查应当基于风险及用途参考本指南相关检</w:t>
      </w:r>
      <w:r>
        <w:rPr>
          <w:w w:val="99"/>
        </w:rPr>
        <w:t xml:space="preserve"> </w:t>
      </w:r>
      <w:r>
        <w:t>查要点。</w:t>
      </w:r>
    </w:p>
    <w:p w14:paraId="557287C1">
      <w:pPr>
        <w:pStyle w:val="2"/>
        <w:spacing w:before="44" w:line="240" w:lineRule="auto"/>
        <w:ind w:left="747" w:right="0"/>
        <w:jc w:val="left"/>
        <w:rPr>
          <w:rFonts w:ascii="黑体" w:hAnsi="黑体" w:eastAsia="黑体" w:cs="黑体"/>
        </w:rPr>
      </w:pPr>
      <w:bookmarkStart w:id="6" w:name="四、制药用水风险管理"/>
      <w:bookmarkEnd w:id="6"/>
      <w:bookmarkStart w:id="7" w:name="_bookmark3"/>
      <w:bookmarkEnd w:id="7"/>
      <w:r>
        <w:rPr>
          <w:rFonts w:ascii="黑体" w:hAnsi="黑体" w:eastAsia="黑体" w:cs="黑体"/>
        </w:rPr>
        <w:t>四、制药用水风险管理</w:t>
      </w:r>
    </w:p>
    <w:p w14:paraId="731FC56E">
      <w:pPr>
        <w:pStyle w:val="2"/>
        <w:spacing w:before="140" w:line="321" w:lineRule="auto"/>
        <w:ind w:left="747" w:right="0"/>
        <w:jc w:val="left"/>
      </w:pPr>
      <w:bookmarkStart w:id="8" w:name="1.质量风险管理基本原则"/>
      <w:bookmarkEnd w:id="8"/>
      <w:bookmarkStart w:id="9" w:name="_bookmark4"/>
      <w:bookmarkEnd w:id="9"/>
      <w:r>
        <w:t>1.质量风险管理基本原则</w:t>
      </w:r>
      <w:r>
        <w:rPr>
          <w:w w:val="99"/>
        </w:rPr>
        <w:t xml:space="preserve"> </w:t>
      </w:r>
      <w:r>
        <w:rPr>
          <w:spacing w:val="-4"/>
          <w:w w:val="95"/>
        </w:rPr>
        <w:t>质量风险管理贯穿药品生命周期的所有方面，在制药用水风</w:t>
      </w:r>
    </w:p>
    <w:p w14:paraId="0C6489D3">
      <w:pPr>
        <w:pStyle w:val="2"/>
        <w:spacing w:line="240" w:lineRule="auto"/>
        <w:ind w:right="0"/>
        <w:jc w:val="left"/>
        <w:rPr>
          <w:rFonts w:ascii="Times New Roman" w:hAnsi="Times New Roman" w:eastAsia="Times New Roman" w:cs="Times New Roman"/>
        </w:rPr>
      </w:pPr>
      <w:r>
        <w:t>险</w:t>
      </w:r>
      <w:r>
        <w:rPr>
          <w:spacing w:val="-121"/>
        </w:rPr>
        <w:t xml:space="preserve"> </w:t>
      </w:r>
      <w:r>
        <w:rPr>
          <w:spacing w:val="19"/>
        </w:rPr>
        <w:t>管理</w:t>
      </w:r>
      <w:r>
        <w:rPr>
          <w:spacing w:val="-121"/>
        </w:rPr>
        <w:t xml:space="preserve"> </w:t>
      </w:r>
      <w:r>
        <w:rPr>
          <w:spacing w:val="19"/>
        </w:rPr>
        <w:t>过程</w:t>
      </w:r>
      <w:r>
        <w:rPr>
          <w:spacing w:val="-121"/>
        </w:rPr>
        <w:t xml:space="preserve"> </w:t>
      </w:r>
      <w:r>
        <w:rPr>
          <w:spacing w:val="19"/>
        </w:rPr>
        <w:t>中，</w:t>
      </w:r>
      <w:r>
        <w:rPr>
          <w:spacing w:val="-121"/>
        </w:rPr>
        <w:t xml:space="preserve"> </w:t>
      </w:r>
      <w:r>
        <w:rPr>
          <w:spacing w:val="19"/>
        </w:rPr>
        <w:t>应当</w:t>
      </w:r>
      <w:r>
        <w:rPr>
          <w:spacing w:val="-121"/>
        </w:rPr>
        <w:t xml:space="preserve"> </w:t>
      </w:r>
      <w:r>
        <w:t>参</w:t>
      </w:r>
      <w:r>
        <w:rPr>
          <w:spacing w:val="-121"/>
        </w:rPr>
        <w:t xml:space="preserve"> </w:t>
      </w:r>
      <w:r>
        <w:rPr>
          <w:spacing w:val="19"/>
        </w:rPr>
        <w:t>考《</w:t>
      </w:r>
      <w:r>
        <w:rPr>
          <w:spacing w:val="-121"/>
        </w:rPr>
        <w:t xml:space="preserve"> </w:t>
      </w:r>
      <w:r>
        <w:t>质</w:t>
      </w:r>
      <w:r>
        <w:rPr>
          <w:spacing w:val="-121"/>
        </w:rPr>
        <w:t xml:space="preserve"> </w:t>
      </w:r>
      <w:r>
        <w:rPr>
          <w:spacing w:val="19"/>
        </w:rPr>
        <w:t>量风</w:t>
      </w:r>
      <w:r>
        <w:rPr>
          <w:spacing w:val="-121"/>
        </w:rPr>
        <w:t xml:space="preserve"> </w:t>
      </w:r>
      <w:r>
        <w:rPr>
          <w:spacing w:val="19"/>
        </w:rPr>
        <w:t>险管</w:t>
      </w:r>
      <w:r>
        <w:rPr>
          <w:spacing w:val="-121"/>
        </w:rPr>
        <w:t xml:space="preserve"> </w:t>
      </w:r>
      <w:r>
        <w:rPr>
          <w:spacing w:val="19"/>
        </w:rPr>
        <w:t>理》</w:t>
      </w:r>
      <w:r>
        <w:rPr>
          <w:spacing w:val="-121"/>
        </w:rPr>
        <w:t xml:space="preserve"> </w:t>
      </w:r>
      <w:r>
        <w:t>（</w:t>
      </w:r>
      <w:r>
        <w:rPr>
          <w:spacing w:val="-124"/>
        </w:rPr>
        <w:t xml:space="preserve"> </w:t>
      </w:r>
      <w:r>
        <w:rPr>
          <w:rFonts w:ascii="Times New Roman" w:hAnsi="Times New Roman" w:eastAsia="Times New Roman" w:cs="Times New Roman"/>
        </w:rPr>
        <w:t>Quality</w:t>
      </w:r>
      <w:r>
        <w:rPr>
          <w:rFonts w:ascii="Times New Roman" w:hAnsi="Times New Roman" w:eastAsia="Times New Roman" w:cs="Times New Roman"/>
          <w:spacing w:val="36"/>
        </w:rPr>
        <w:t xml:space="preserve"> </w:t>
      </w:r>
      <w:r>
        <w:rPr>
          <w:rFonts w:ascii="Times New Roman" w:hAnsi="Times New Roman" w:eastAsia="Times New Roman" w:cs="Times New Roman"/>
        </w:rPr>
        <w:t>Risk</w:t>
      </w:r>
    </w:p>
    <w:p w14:paraId="7A637257">
      <w:pPr>
        <w:spacing w:after="0" w:line="240" w:lineRule="auto"/>
        <w:jc w:val="left"/>
        <w:rPr>
          <w:rFonts w:ascii="Times New Roman" w:hAnsi="Times New Roman" w:eastAsia="Times New Roman" w:cs="Times New Roman"/>
        </w:rPr>
        <w:sectPr>
          <w:footerReference r:id="rId6" w:type="default"/>
          <w:pgSz w:w="11910" w:h="16840"/>
          <w:pgMar w:top="1580" w:right="1360" w:bottom="2480" w:left="1480" w:header="0" w:footer="2285" w:gutter="0"/>
          <w:pgNumType w:start="2"/>
          <w:cols w:space="720" w:num="1"/>
        </w:sectPr>
      </w:pPr>
    </w:p>
    <w:p w14:paraId="71373C10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1AD1AACE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CA1A3EF">
      <w:pPr>
        <w:pStyle w:val="2"/>
        <w:spacing w:before="115" w:line="314" w:lineRule="auto"/>
        <w:ind w:right="111"/>
        <w:jc w:val="both"/>
      </w:pPr>
      <w:r>
        <w:rPr>
          <w:rFonts w:ascii="Times New Roman" w:hAnsi="Times New Roman" w:eastAsia="Times New Roman" w:cs="Times New Roman"/>
        </w:rPr>
        <w:t>Management</w:t>
      </w:r>
      <w:r>
        <w:t>，</w:t>
      </w:r>
      <w:r>
        <w:rPr>
          <w:rFonts w:ascii="Times New Roman" w:hAnsi="Times New Roman" w:eastAsia="Times New Roman" w:cs="Times New Roman"/>
        </w:rPr>
        <w:t>ICH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Q9</w:t>
      </w:r>
      <w:r>
        <w:rPr>
          <w:spacing w:val="-3"/>
        </w:rPr>
        <w:t>）并遵循以下基本原则：（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）质量风险管</w:t>
      </w:r>
      <w:r>
        <w:rPr>
          <w:w w:val="99"/>
        </w:rPr>
        <w:t xml:space="preserve"> </w:t>
      </w:r>
      <w:r>
        <w:rPr>
          <w:spacing w:val="-4"/>
          <w:w w:val="95"/>
        </w:rPr>
        <w:t>理应当首先考虑制药用水设施、设备和工艺的合理设计，然后是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设计良好的程序的执行，最后是证明设计和程序已正确执行并持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续符合预期的结果；仅通过监测或检测制药用水质量指标不足以</w:t>
      </w:r>
      <w:r>
        <w:rPr>
          <w:spacing w:val="134"/>
          <w:w w:val="95"/>
        </w:rPr>
        <w:t xml:space="preserve"> </w:t>
      </w:r>
      <w:r>
        <w:t>保证制药用水质量。（</w:t>
      </w:r>
      <w:r>
        <w:rPr>
          <w:rFonts w:ascii="Times New Roman" w:hAnsi="Times New Roman" w:eastAsia="Times New Roman" w:cs="Times New Roman"/>
        </w:rPr>
        <w:t>2</w:t>
      </w:r>
      <w:r>
        <w:t>）药品生产企业应当基于法律法规、规</w:t>
      </w:r>
      <w:r>
        <w:rPr>
          <w:spacing w:val="-133"/>
        </w:rPr>
        <w:t xml:space="preserve"> </w:t>
      </w:r>
      <w:r>
        <w:rPr>
          <w:spacing w:val="-4"/>
          <w:w w:val="95"/>
        </w:rPr>
        <w:t>章和国家标准等的要求，最大限度降低制药用水的污染和交叉污</w:t>
      </w:r>
      <w:r>
        <w:rPr>
          <w:spacing w:val="136"/>
          <w:w w:val="95"/>
        </w:rPr>
        <w:t xml:space="preserve"> </w:t>
      </w:r>
      <w:r>
        <w:t>染风险，保证制药用水的质量，确保药品质量安全。（</w:t>
      </w:r>
      <w:r>
        <w:rPr>
          <w:rFonts w:ascii="Times New Roman" w:hAnsi="Times New Roman" w:eastAsia="Times New Roman" w:cs="Times New Roman"/>
        </w:rPr>
        <w:t>3</w:t>
      </w:r>
      <w:r>
        <w:t>）风险</w:t>
      </w:r>
      <w:r>
        <w:rPr>
          <w:spacing w:val="-132"/>
        </w:rPr>
        <w:t xml:space="preserve"> </w:t>
      </w:r>
      <w:r>
        <w:rPr>
          <w:spacing w:val="-4"/>
          <w:w w:val="95"/>
        </w:rPr>
        <w:t>管理作为质量管理的一部分，应当有记录，企业应当定期对制药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用水风险管理结果进行回顾分析并持续改进，对已经出现的质量</w:t>
      </w:r>
      <w:r>
        <w:rPr>
          <w:spacing w:val="136"/>
          <w:w w:val="95"/>
        </w:rPr>
        <w:t xml:space="preserve"> </w:t>
      </w:r>
      <w:r>
        <w:rPr>
          <w:spacing w:val="2"/>
          <w:w w:val="95"/>
        </w:rPr>
        <w:t>缺陷，应当有专项评估、调查分析与整改策略。（</w:t>
      </w:r>
      <w:r>
        <w:rPr>
          <w:rFonts w:ascii="Times New Roman" w:hAnsi="Times New Roman" w:eastAsia="Times New Roman" w:cs="Times New Roman"/>
          <w:spacing w:val="2"/>
          <w:w w:val="95"/>
        </w:rPr>
        <w:t>4</w:t>
      </w:r>
      <w:r>
        <w:rPr>
          <w:spacing w:val="2"/>
          <w:w w:val="95"/>
        </w:rPr>
        <w:t>）风险管理</w:t>
      </w:r>
      <w:r>
        <w:rPr>
          <w:spacing w:val="107"/>
          <w:w w:val="95"/>
        </w:rPr>
        <w:t xml:space="preserve"> </w:t>
      </w:r>
      <w:r>
        <w:rPr>
          <w:spacing w:val="-4"/>
          <w:w w:val="95"/>
        </w:rPr>
        <w:t>应当贯穿制药用水的设计、制备、使用及监测等全过程，并应当</w:t>
      </w:r>
      <w:r>
        <w:rPr>
          <w:spacing w:val="133"/>
          <w:w w:val="95"/>
        </w:rPr>
        <w:t xml:space="preserve"> </w:t>
      </w:r>
      <w:r>
        <w:t>综合考虑对制药用水的微生物、内毒素</w:t>
      </w:r>
      <w:r>
        <w:rPr>
          <w:rFonts w:ascii="Times New Roman" w:hAnsi="Times New Roman" w:eastAsia="Times New Roman" w:cs="Times New Roman"/>
        </w:rPr>
        <w:t>/</w:t>
      </w:r>
      <w:r>
        <w:t>热原、</w:t>
      </w:r>
      <w:r>
        <w:rPr>
          <w:rFonts w:ascii="Times New Roman" w:hAnsi="Times New Roman" w:eastAsia="Times New Roman" w:cs="Times New Roman"/>
        </w:rPr>
        <w:t>TOC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t>和微粒等的</w:t>
      </w:r>
      <w:r>
        <w:rPr>
          <w:spacing w:val="-156"/>
        </w:rPr>
        <w:t xml:space="preserve"> </w:t>
      </w:r>
      <w:r>
        <w:t>控制，以及检测方法的选择。</w:t>
      </w:r>
    </w:p>
    <w:p w14:paraId="2EB3DD63">
      <w:pPr>
        <w:pStyle w:val="2"/>
        <w:spacing w:before="41" w:line="321" w:lineRule="auto"/>
        <w:ind w:left="747" w:right="0"/>
        <w:jc w:val="left"/>
      </w:pPr>
      <w:bookmarkStart w:id="10" w:name="_bookmark5"/>
      <w:bookmarkEnd w:id="10"/>
      <w:bookmarkStart w:id="11" w:name="2.质量风险评估"/>
      <w:bookmarkEnd w:id="11"/>
      <w:r>
        <w:t>2.质量风险评估</w:t>
      </w:r>
      <w:r>
        <w:rPr>
          <w:w w:val="99"/>
        </w:rPr>
        <w:t xml:space="preserve"> </w:t>
      </w:r>
      <w:r>
        <w:rPr>
          <w:spacing w:val="8"/>
        </w:rPr>
        <w:t>企业应当科学地应用质量风险管理原则对制药用水质量风</w:t>
      </w:r>
    </w:p>
    <w:p w14:paraId="73CFCF48">
      <w:pPr>
        <w:pStyle w:val="2"/>
        <w:spacing w:before="34" w:line="321" w:lineRule="auto"/>
        <w:ind w:right="113"/>
        <w:jc w:val="both"/>
      </w:pPr>
      <w:r>
        <w:rPr>
          <w:spacing w:val="-4"/>
          <w:w w:val="95"/>
        </w:rPr>
        <w:t>险进行评估，保证制药用水质量能够持续稳定满足药典等国家标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准及法规要求，符合药品生产工艺需求。企业综合考虑投入及运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行成本，对于不同车间（区域）或生产线共用制水系统或分配系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统的情况，需充分评估污染及交叉污染的风险；制定合理的监测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项目、标准、取样点位、取样频次等，并经过充分的确认，同时</w:t>
      </w:r>
    </w:p>
    <w:p w14:paraId="477AA129">
      <w:pPr>
        <w:spacing w:after="0" w:line="321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3E95BD7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9BF6189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05A86050">
      <w:pPr>
        <w:pStyle w:val="2"/>
        <w:spacing w:before="0" w:line="302" w:lineRule="auto"/>
        <w:ind w:right="114"/>
        <w:jc w:val="both"/>
      </w:pPr>
      <w:r>
        <w:rPr>
          <w:spacing w:val="-9"/>
          <w:w w:val="95"/>
        </w:rPr>
        <w:t>根据历史数据制定关键指标的警戒限和纠偏限，如电导率、</w:t>
      </w:r>
      <w:r>
        <w:rPr>
          <w:rFonts w:ascii="Times New Roman" w:hAnsi="Times New Roman" w:eastAsia="Times New Roman" w:cs="Times New Roman"/>
          <w:spacing w:val="-9"/>
          <w:w w:val="95"/>
        </w:rPr>
        <w:t>TOC</w:t>
      </w:r>
      <w:r>
        <w:rPr>
          <w:spacing w:val="-9"/>
          <w:w w:val="95"/>
        </w:rPr>
        <w:t>、</w:t>
      </w:r>
      <w:r>
        <w:rPr>
          <w:spacing w:val="10"/>
          <w:w w:val="95"/>
        </w:rPr>
        <w:t xml:space="preserve"> </w:t>
      </w:r>
      <w:r>
        <w:t>微生物等，确保制药用水符合相应的质量标准。</w:t>
      </w:r>
    </w:p>
    <w:p w14:paraId="0A3FBDA9">
      <w:pPr>
        <w:pStyle w:val="2"/>
        <w:spacing w:before="57" w:line="240" w:lineRule="auto"/>
        <w:ind w:left="747" w:right="0"/>
        <w:jc w:val="left"/>
        <w:rPr>
          <w:rFonts w:ascii="黑体" w:hAnsi="黑体" w:eastAsia="黑体" w:cs="黑体"/>
        </w:rPr>
      </w:pPr>
      <w:bookmarkStart w:id="12" w:name="_bookmark6"/>
      <w:bookmarkEnd w:id="12"/>
      <w:bookmarkStart w:id="13" w:name="五、饮用水检查要点"/>
      <w:bookmarkEnd w:id="13"/>
      <w:r>
        <w:rPr>
          <w:rFonts w:ascii="黑体" w:hAnsi="黑体" w:eastAsia="黑体" w:cs="黑体"/>
        </w:rPr>
        <w:t>五、饮用水检查要点</w:t>
      </w:r>
    </w:p>
    <w:p w14:paraId="16CE3BEA">
      <w:pPr>
        <w:pStyle w:val="2"/>
        <w:spacing w:before="143" w:line="321" w:lineRule="auto"/>
        <w:ind w:right="271" w:firstLine="640"/>
        <w:jc w:val="both"/>
      </w:pPr>
      <w:r>
        <w:rPr>
          <w:spacing w:val="-4"/>
          <w:w w:val="95"/>
        </w:rPr>
        <w:t>饮用水为天然水经净化处理所得，来源包括市政供水、地下</w:t>
      </w:r>
      <w:r>
        <w:rPr>
          <w:w w:val="99"/>
        </w:rPr>
        <w:t xml:space="preserve"> </w:t>
      </w:r>
      <w:r>
        <w:rPr>
          <w:spacing w:val="-4"/>
          <w:w w:val="95"/>
        </w:rPr>
        <w:t>水及地表水等，建议优先选用市政供水作为饮用水来源。饮用水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来源不同，水质可能存在差异，应当定期做好水质评估和监测工</w:t>
      </w:r>
      <w:r>
        <w:rPr>
          <w:spacing w:val="136"/>
          <w:w w:val="95"/>
        </w:rPr>
        <w:t xml:space="preserve"> </w:t>
      </w:r>
      <w:r>
        <w:t>作，必要时通过适当的处理以确保水质持续符合要求。</w:t>
      </w:r>
    </w:p>
    <w:p w14:paraId="371D6935">
      <w:pPr>
        <w:pStyle w:val="2"/>
        <w:spacing w:line="321" w:lineRule="auto"/>
        <w:ind w:left="747" w:right="0"/>
        <w:jc w:val="left"/>
      </w:pPr>
      <w:r>
        <w:t>检查要点包括但不限于：</w:t>
      </w:r>
      <w:r>
        <w:rPr>
          <w:w w:val="99"/>
        </w:rPr>
        <w:t xml:space="preserve"> </w:t>
      </w:r>
      <w:r>
        <w:rPr>
          <w:spacing w:val="-4"/>
          <w:w w:val="95"/>
        </w:rPr>
        <w:t>1.是否定期监测饮用水水质符合国家现行标准要求。使用饮</w:t>
      </w:r>
    </w:p>
    <w:p w14:paraId="2D77B2DC">
      <w:pPr>
        <w:pStyle w:val="2"/>
        <w:spacing w:before="34" w:line="321" w:lineRule="auto"/>
        <w:ind w:right="158"/>
        <w:jc w:val="both"/>
      </w:pPr>
      <w:r>
        <w:rPr>
          <w:spacing w:val="-4"/>
        </w:rPr>
        <w:t>用水时应当对饮用水的来源（采用市政供水的还应当考虑管网因</w:t>
      </w:r>
      <w:r>
        <w:rPr>
          <w:w w:val="99"/>
        </w:rPr>
        <w:t xml:space="preserve"> </w:t>
      </w:r>
      <w:r>
        <w:rPr>
          <w:spacing w:val="-4"/>
        </w:rPr>
        <w:t>素）、用途，结合政府部门对当地饮用水质监测结果以及自行采</w:t>
      </w:r>
      <w:r>
        <w:rPr>
          <w:w w:val="99"/>
        </w:rPr>
        <w:t xml:space="preserve"> </w:t>
      </w:r>
      <w:r>
        <w:rPr>
          <w:spacing w:val="-4"/>
        </w:rPr>
        <w:t>集和检测的结果进行风险评估，根据评估结果确定饮用水的监测</w:t>
      </w:r>
      <w:r>
        <w:rPr>
          <w:w w:val="99"/>
        </w:rPr>
        <w:t xml:space="preserve"> </w:t>
      </w:r>
      <w:r>
        <w:rPr>
          <w:spacing w:val="-4"/>
        </w:rPr>
        <w:t>频率。但至少应当在首次使用后一年内每季度按照现行中华人民</w:t>
      </w:r>
      <w:r>
        <w:rPr>
          <w:w w:val="99"/>
        </w:rPr>
        <w:t xml:space="preserve"> </w:t>
      </w:r>
      <w:r>
        <w:rPr>
          <w:spacing w:val="-4"/>
        </w:rPr>
        <w:t>共和国国家标准《生活饮用水卫生标准》常规指标项目进行一次</w:t>
      </w:r>
      <w:r>
        <w:rPr>
          <w:w w:val="99"/>
        </w:rPr>
        <w:t xml:space="preserve"> </w:t>
      </w:r>
      <w:r>
        <w:t>检验。企业应当基于风险评估结果选择关键项目进行加强检验。</w:t>
      </w:r>
    </w:p>
    <w:p w14:paraId="20917D7A">
      <w:pPr>
        <w:pStyle w:val="2"/>
        <w:spacing w:before="34" w:line="321" w:lineRule="auto"/>
        <w:ind w:right="0" w:firstLine="640"/>
        <w:jc w:val="left"/>
      </w:pPr>
      <w:r>
        <w:t>2.是否保存定期监测结果、趋势分析和所采取措施的记录。</w:t>
      </w:r>
      <w:r>
        <w:rPr>
          <w:w w:val="99"/>
        </w:rPr>
        <w:t xml:space="preserve"> </w:t>
      </w:r>
      <w:r>
        <w:rPr>
          <w:spacing w:val="-4"/>
        </w:rPr>
        <w:t>是否对饮用水监测结果进行统计学分析，以发现其趋势和变化情</w:t>
      </w:r>
      <w:r>
        <w:rPr>
          <w:w w:val="99"/>
        </w:rPr>
        <w:t xml:space="preserve"> </w:t>
      </w:r>
      <w:r>
        <w:rPr>
          <w:spacing w:val="-4"/>
        </w:rPr>
        <w:t>况。应当关注是否基于风险评估及历史监测结果，考虑增加关键</w:t>
      </w:r>
      <w:r>
        <w:rPr>
          <w:w w:val="99"/>
        </w:rPr>
        <w:t xml:space="preserve"> </w:t>
      </w:r>
      <w:r>
        <w:t>项目监测频次。</w:t>
      </w:r>
    </w:p>
    <w:p w14:paraId="562DA20F">
      <w:pPr>
        <w:pStyle w:val="2"/>
        <w:spacing w:line="321" w:lineRule="auto"/>
        <w:ind w:right="0" w:firstLine="640"/>
        <w:jc w:val="left"/>
      </w:pPr>
      <w:r>
        <w:rPr>
          <w:spacing w:val="-4"/>
        </w:rPr>
        <w:t>3.饮用水系统需进行水质预处理的，应当关注是否有饮用水</w:t>
      </w:r>
      <w:r>
        <w:rPr>
          <w:w w:val="99"/>
        </w:rPr>
        <w:t xml:space="preserve"> </w:t>
      </w:r>
      <w:r>
        <w:rPr>
          <w:spacing w:val="-9"/>
          <w:w w:val="95"/>
        </w:rPr>
        <w:t>系统的示意图，是否与实际情况相符；设备、管道等是否有标识，</w:t>
      </w:r>
    </w:p>
    <w:p w14:paraId="04BE2616">
      <w:pPr>
        <w:spacing w:after="0" w:line="321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496E59A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378AE23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0925C49E">
      <w:pPr>
        <w:pStyle w:val="2"/>
        <w:spacing w:before="0" w:line="240" w:lineRule="auto"/>
        <w:ind w:right="0"/>
        <w:jc w:val="both"/>
      </w:pPr>
      <w:r>
        <w:rPr>
          <w:spacing w:val="-4"/>
        </w:rPr>
        <w:t>标明内容物名称、流向。饮用水系统的设计、安装、调试、确认</w:t>
      </w:r>
    </w:p>
    <w:p w14:paraId="5FAFB9BC">
      <w:pPr>
        <w:pStyle w:val="2"/>
        <w:spacing w:before="140" w:line="321" w:lineRule="auto"/>
        <w:ind w:right="113"/>
        <w:jc w:val="both"/>
      </w:pPr>
      <w:r>
        <w:rPr>
          <w:spacing w:val="-4"/>
          <w:w w:val="95"/>
        </w:rPr>
        <w:t>（如适用）、运行、维护、使用和清洁是否能够确保持续可靠地</w:t>
      </w:r>
      <w:r>
        <w:rPr>
          <w:spacing w:val="133"/>
          <w:w w:val="95"/>
        </w:rPr>
        <w:t xml:space="preserve"> </w:t>
      </w:r>
      <w:r>
        <w:t>产出既定质量的饮用水。</w:t>
      </w:r>
    </w:p>
    <w:p w14:paraId="6833C479">
      <w:pPr>
        <w:pStyle w:val="2"/>
        <w:spacing w:before="34" w:line="321" w:lineRule="auto"/>
        <w:ind w:right="0" w:firstLine="640"/>
        <w:jc w:val="left"/>
      </w:pPr>
      <w:r>
        <w:rPr>
          <w:spacing w:val="-4"/>
          <w:w w:val="95"/>
        </w:rPr>
        <w:t>4.饮用水的取样点应当具有代表性，一般位于饮用水储罐入</w:t>
      </w:r>
      <w:r>
        <w:rPr>
          <w:w w:val="99"/>
        </w:rPr>
        <w:t xml:space="preserve"> </w:t>
      </w:r>
      <w:r>
        <w:t>口、出口，或市政用水进入纯化水制备系统前最后用水点。</w:t>
      </w:r>
    </w:p>
    <w:p w14:paraId="6A19F3C5">
      <w:pPr>
        <w:pStyle w:val="2"/>
        <w:spacing w:line="240" w:lineRule="auto"/>
        <w:ind w:left="747" w:right="0"/>
        <w:jc w:val="left"/>
        <w:rPr>
          <w:rFonts w:ascii="黑体" w:hAnsi="黑体" w:eastAsia="黑体" w:cs="黑体"/>
        </w:rPr>
      </w:pPr>
      <w:bookmarkStart w:id="14" w:name="六、纯化水检查要点"/>
      <w:bookmarkEnd w:id="14"/>
      <w:bookmarkStart w:id="15" w:name="_bookmark7"/>
      <w:bookmarkEnd w:id="15"/>
      <w:r>
        <w:rPr>
          <w:rFonts w:ascii="黑体" w:hAnsi="黑体" w:eastAsia="黑体" w:cs="黑体"/>
        </w:rPr>
        <w:t>六、纯化水检查要点</w:t>
      </w:r>
    </w:p>
    <w:p w14:paraId="5A13A5DA">
      <w:pPr>
        <w:pStyle w:val="2"/>
        <w:spacing w:before="143" w:line="240" w:lineRule="auto"/>
        <w:ind w:left="747" w:right="0"/>
        <w:jc w:val="left"/>
        <w:rPr>
          <w:rFonts w:ascii="宋体" w:hAnsi="宋体" w:eastAsia="宋体" w:cs="宋体"/>
        </w:rPr>
      </w:pPr>
      <w:bookmarkStart w:id="16" w:name="_bookmark8"/>
      <w:bookmarkEnd w:id="16"/>
      <w:bookmarkStart w:id="17" w:name="（一）纯化水制备系统概述"/>
      <w:bookmarkEnd w:id="17"/>
      <w:r>
        <w:rPr>
          <w:rFonts w:ascii="宋体" w:hAnsi="宋体" w:eastAsia="宋体" w:cs="宋体"/>
        </w:rPr>
        <w:t>（一）纯化水制备系统概述</w:t>
      </w:r>
    </w:p>
    <w:p w14:paraId="35D50DF4">
      <w:pPr>
        <w:pStyle w:val="2"/>
        <w:spacing w:before="140" w:line="321" w:lineRule="auto"/>
        <w:ind w:right="0" w:firstLine="640"/>
        <w:jc w:val="left"/>
      </w:pPr>
      <w:r>
        <w:rPr>
          <w:spacing w:val="-4"/>
          <w:w w:val="95"/>
        </w:rPr>
        <w:t>制药行业纯化水制备系统又称水处理设备，一般由预处理系</w:t>
      </w:r>
      <w:r>
        <w:rPr>
          <w:w w:val="99"/>
        </w:rPr>
        <w:t xml:space="preserve"> </w:t>
      </w:r>
      <w:r>
        <w:t>统和纯化制备系统组成。</w:t>
      </w:r>
    </w:p>
    <w:p w14:paraId="6155A327">
      <w:pPr>
        <w:pStyle w:val="2"/>
        <w:spacing w:before="34" w:line="321" w:lineRule="auto"/>
        <w:ind w:left="747" w:right="0"/>
        <w:jc w:val="left"/>
      </w:pPr>
      <w:bookmarkStart w:id="18" w:name="_bookmark9"/>
      <w:bookmarkEnd w:id="18"/>
      <w:bookmarkStart w:id="19" w:name="1.水质预处理"/>
      <w:bookmarkEnd w:id="19"/>
      <w:r>
        <w:t>1.水质预处理</w:t>
      </w:r>
      <w:r>
        <w:rPr>
          <w:w w:val="99"/>
        </w:rPr>
        <w:t xml:space="preserve"> </w:t>
      </w:r>
      <w:r>
        <w:rPr>
          <w:spacing w:val="-5"/>
        </w:rPr>
        <w:t>原水预处理包括混凝、沉淀、澄清、过滤、软化、消毒和去</w:t>
      </w:r>
    </w:p>
    <w:p w14:paraId="0CD973B9">
      <w:pPr>
        <w:pStyle w:val="2"/>
        <w:spacing w:line="321" w:lineRule="auto"/>
        <w:ind w:right="113"/>
        <w:jc w:val="both"/>
      </w:pPr>
      <w:r>
        <w:rPr>
          <w:spacing w:val="-4"/>
          <w:w w:val="95"/>
        </w:rPr>
        <w:t>离子等方法，旨在降低水中潜在杂质的含量。其核心目标是降低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水中的悬浮物、有机物、胶体、微生物、余氯，以及过高的浊度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和硬度，确保水质参数满足后续纯化设备要求。以市政供水为原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水的预处理一般通过多介质过滤、活性炭过滤、超滤或软化、紫</w:t>
      </w:r>
      <w:r>
        <w:rPr>
          <w:spacing w:val="132"/>
          <w:w w:val="95"/>
        </w:rPr>
        <w:t xml:space="preserve"> </w:t>
      </w:r>
      <w:r>
        <w:t>外消毒等方式达到上述要求，减轻后续纯化制备系统的负担。</w:t>
      </w:r>
    </w:p>
    <w:p w14:paraId="0A6BC269">
      <w:pPr>
        <w:pStyle w:val="2"/>
        <w:spacing w:line="321" w:lineRule="auto"/>
        <w:ind w:left="747" w:right="0"/>
        <w:jc w:val="left"/>
      </w:pPr>
      <w:bookmarkStart w:id="20" w:name="_bookmark10"/>
      <w:bookmarkEnd w:id="20"/>
      <w:bookmarkStart w:id="21" w:name="2.纯化水制备"/>
      <w:bookmarkEnd w:id="21"/>
      <w:r>
        <w:t>2.纯化水制备</w:t>
      </w:r>
      <w:r>
        <w:rPr>
          <w:w w:val="99"/>
        </w:rPr>
        <w:t xml:space="preserve"> </w:t>
      </w:r>
      <w:r>
        <w:rPr>
          <w:spacing w:val="-4"/>
          <w:w w:val="95"/>
        </w:rPr>
        <w:t>纯化水为饮用水经蒸馏法、离子交换法、反渗透法或其他适</w:t>
      </w:r>
    </w:p>
    <w:p w14:paraId="1270B40B">
      <w:pPr>
        <w:pStyle w:val="2"/>
        <w:spacing w:before="34" w:line="321" w:lineRule="auto"/>
        <w:ind w:right="113"/>
        <w:jc w:val="both"/>
      </w:pPr>
      <w:r>
        <w:rPr>
          <w:spacing w:val="-4"/>
          <w:w w:val="95"/>
        </w:rPr>
        <w:t>宜的方法制备所得的制药用水，不含任何添加剂，其质量应当符</w:t>
      </w:r>
      <w:r>
        <w:rPr>
          <w:spacing w:val="134"/>
          <w:w w:val="95"/>
        </w:rPr>
        <w:t xml:space="preserve"> </w:t>
      </w:r>
      <w:r>
        <w:t>合《中华人民共和国药典》纯化水项下的规定。</w:t>
      </w:r>
    </w:p>
    <w:p w14:paraId="3C574DBA">
      <w:pPr>
        <w:pStyle w:val="2"/>
        <w:spacing w:line="240" w:lineRule="auto"/>
        <w:ind w:left="747" w:right="0"/>
        <w:jc w:val="left"/>
      </w:pPr>
      <w:r>
        <w:rPr>
          <w:spacing w:val="-4"/>
        </w:rPr>
        <w:t>通常情况下，纯化水制备系统的配置方式根据地域和水源的</w:t>
      </w:r>
    </w:p>
    <w:p w14:paraId="4569F5AB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6F1CB572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D8C8110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F4F56C3">
      <w:pPr>
        <w:pStyle w:val="2"/>
        <w:spacing w:before="0" w:line="321" w:lineRule="auto"/>
        <w:ind w:right="113"/>
        <w:jc w:val="both"/>
      </w:pPr>
      <w:r>
        <w:rPr>
          <w:spacing w:val="-4"/>
          <w:w w:val="95"/>
        </w:rPr>
        <w:t>不同而不同，纯化水制备系统应当根据不同的原水水质情况进行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分析与设计，然后配置相应的单元操作依次把各指标处理到允许</w:t>
      </w:r>
      <w:r>
        <w:rPr>
          <w:spacing w:val="134"/>
          <w:w w:val="95"/>
        </w:rPr>
        <w:t xml:space="preserve"> </w:t>
      </w:r>
      <w:r>
        <w:t>的质量范围之内。</w:t>
      </w:r>
    </w:p>
    <w:p w14:paraId="2DBD16BC">
      <w:pPr>
        <w:pStyle w:val="2"/>
        <w:spacing w:before="34" w:line="321" w:lineRule="auto"/>
        <w:ind w:right="113" w:firstLine="640"/>
        <w:jc w:val="both"/>
      </w:pPr>
      <w:r>
        <w:rPr>
          <w:spacing w:val="2"/>
          <w:w w:val="95"/>
        </w:rPr>
        <w:t>纯化水制备系统需要通过定期的清洗/消毒和水质的监测来</w:t>
      </w:r>
      <w:r>
        <w:rPr>
          <w:w w:val="99"/>
        </w:rPr>
        <w:t xml:space="preserve"> </w:t>
      </w:r>
      <w:r>
        <w:t>确保所有使用点的水符合《中华人民共和国药典》要求。</w:t>
      </w:r>
    </w:p>
    <w:p w14:paraId="6D872EBA">
      <w:pPr>
        <w:pStyle w:val="2"/>
        <w:spacing w:line="240" w:lineRule="auto"/>
        <w:ind w:left="747" w:right="0"/>
        <w:jc w:val="left"/>
        <w:rPr>
          <w:rFonts w:ascii="宋体" w:hAnsi="宋体" w:eastAsia="宋体" w:cs="宋体"/>
        </w:rPr>
      </w:pPr>
      <w:bookmarkStart w:id="22" w:name="（二）纯化水储存与分配系统概述"/>
      <w:bookmarkEnd w:id="22"/>
      <w:bookmarkStart w:id="23" w:name="_bookmark11"/>
      <w:bookmarkEnd w:id="23"/>
      <w:r>
        <w:rPr>
          <w:rFonts w:ascii="宋体" w:hAnsi="宋体" w:eastAsia="宋体" w:cs="宋体"/>
        </w:rPr>
        <w:t>（二）纯化水储存与分配系统概述</w:t>
      </w:r>
    </w:p>
    <w:p w14:paraId="27FAE067">
      <w:pPr>
        <w:pStyle w:val="2"/>
        <w:spacing w:before="143" w:line="321" w:lineRule="auto"/>
        <w:ind w:right="113" w:firstLine="640"/>
        <w:jc w:val="both"/>
      </w:pPr>
      <w:r>
        <w:rPr>
          <w:spacing w:val="-4"/>
          <w:w w:val="95"/>
        </w:rPr>
        <w:t>纯化水储存与分配系统又称输送系统，包括储存系统、分配</w:t>
      </w:r>
      <w:r>
        <w:rPr>
          <w:w w:val="99"/>
        </w:rPr>
        <w:t xml:space="preserve"> </w:t>
      </w:r>
      <w:r>
        <w:rPr>
          <w:spacing w:val="-4"/>
          <w:w w:val="95"/>
        </w:rPr>
        <w:t>模块单元和用水点管道系统。纯化水系统应当以适当流速、压力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输送至各工艺用水点，且确保用水点水质符合标准。纯化水的输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送应当能够防止微生物的滋生和污染。纯化水系统可采用循环输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送设计，降低管壁微生物附着的可能性，阻碍生物膜（也称生物</w:t>
      </w:r>
      <w:r>
        <w:rPr>
          <w:spacing w:val="133"/>
          <w:w w:val="95"/>
        </w:rPr>
        <w:t xml:space="preserve"> </w:t>
      </w:r>
      <w:r>
        <w:t>被膜）的形成，从而控制系统正常供水时微生物污染的风险。</w:t>
      </w:r>
    </w:p>
    <w:p w14:paraId="1080F83F">
      <w:pPr>
        <w:pStyle w:val="2"/>
        <w:spacing w:before="34" w:line="240" w:lineRule="auto"/>
        <w:ind w:left="747" w:right="0"/>
        <w:jc w:val="left"/>
        <w:rPr>
          <w:rFonts w:ascii="宋体" w:hAnsi="宋体" w:eastAsia="宋体" w:cs="宋体"/>
        </w:rPr>
      </w:pPr>
      <w:bookmarkStart w:id="24" w:name="（三）纯化水系统检查要点"/>
      <w:bookmarkEnd w:id="24"/>
      <w:bookmarkStart w:id="25" w:name="_bookmark12"/>
      <w:bookmarkEnd w:id="25"/>
      <w:r>
        <w:rPr>
          <w:rFonts w:ascii="宋体" w:hAnsi="宋体" w:eastAsia="宋体" w:cs="宋体"/>
        </w:rPr>
        <w:t>（三）纯化水系统检查要点</w:t>
      </w:r>
    </w:p>
    <w:p w14:paraId="4F66F543">
      <w:pPr>
        <w:pStyle w:val="2"/>
        <w:spacing w:before="140" w:line="321" w:lineRule="auto"/>
        <w:ind w:right="111" w:firstLine="640"/>
        <w:jc w:val="both"/>
      </w:pPr>
      <w:r>
        <w:rPr>
          <w:spacing w:val="-4"/>
          <w:w w:val="95"/>
        </w:rPr>
        <w:t>纯化水储罐和输送管道所用材料应当无毒、耐腐蚀；储罐的</w:t>
      </w:r>
      <w:r>
        <w:rPr>
          <w:w w:val="99"/>
        </w:rPr>
        <w:t xml:space="preserve"> </w:t>
      </w:r>
      <w:r>
        <w:rPr>
          <w:spacing w:val="-4"/>
          <w:w w:val="95"/>
        </w:rPr>
        <w:t>通气口应当安装不脱落纤维的疏水性除菌滤器；管道的设计和安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装应当避免死角、盲管。此外，纯化水的制备、储存和分配应当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能够防止微生物的滋生。纯化水系统检查应当基于上述考虑，并</w:t>
      </w:r>
      <w:r>
        <w:rPr>
          <w:spacing w:val="133"/>
          <w:w w:val="95"/>
        </w:rPr>
        <w:t xml:space="preserve"> </w:t>
      </w:r>
      <w:r>
        <w:t>采用生产现场与文件检查相结合的形式开展检查。</w:t>
      </w:r>
    </w:p>
    <w:p w14:paraId="66081512">
      <w:pPr>
        <w:pStyle w:val="2"/>
        <w:spacing w:before="34" w:line="321" w:lineRule="auto"/>
        <w:ind w:left="747" w:right="1939"/>
        <w:jc w:val="left"/>
      </w:pPr>
      <w:r>
        <w:t>检查要点包括但不限于：</w:t>
      </w:r>
      <w:r>
        <w:rPr>
          <w:w w:val="99"/>
        </w:rPr>
        <w:t xml:space="preserve"> </w:t>
      </w:r>
      <w:bookmarkStart w:id="26" w:name="1.纯化水系统的确认"/>
      <w:bookmarkEnd w:id="26"/>
      <w:bookmarkStart w:id="27" w:name="_bookmark13"/>
      <w:bookmarkEnd w:id="27"/>
      <w:r>
        <w:t>1.纯化水系统的确认</w:t>
      </w:r>
    </w:p>
    <w:p w14:paraId="4DFCDD37">
      <w:pPr>
        <w:pStyle w:val="2"/>
        <w:spacing w:line="240" w:lineRule="auto"/>
        <w:ind w:left="747" w:right="0"/>
        <w:jc w:val="left"/>
      </w:pPr>
      <w:r>
        <w:rPr>
          <w:spacing w:val="2"/>
        </w:rPr>
        <w:t>纯化水系统确认包括设计确认（</w:t>
      </w:r>
      <w:r>
        <w:rPr>
          <w:rFonts w:ascii="Times New Roman" w:hAnsi="Times New Roman" w:eastAsia="Times New Roman" w:cs="Times New Roman"/>
          <w:spacing w:val="2"/>
        </w:rPr>
        <w:t>DQ</w:t>
      </w:r>
      <w:r>
        <w:rPr>
          <w:spacing w:val="2"/>
        </w:rPr>
        <w:t>）、安装确认（</w:t>
      </w:r>
      <w:r>
        <w:rPr>
          <w:rFonts w:ascii="Times New Roman" w:hAnsi="Times New Roman" w:eastAsia="Times New Roman" w:cs="Times New Roman"/>
          <w:spacing w:val="2"/>
        </w:rPr>
        <w:t>IQ</w:t>
      </w:r>
      <w:r>
        <w:rPr>
          <w:spacing w:val="2"/>
        </w:rPr>
        <w:t>）、</w:t>
      </w:r>
    </w:p>
    <w:p w14:paraId="15AED681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3AC6DE89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52FFF26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F8360C5">
      <w:pPr>
        <w:pStyle w:val="2"/>
        <w:spacing w:before="0" w:line="312" w:lineRule="auto"/>
        <w:ind w:right="213"/>
        <w:jc w:val="both"/>
      </w:pPr>
      <w:r>
        <w:rPr>
          <w:w w:val="95"/>
        </w:rPr>
        <w:t>运行确认（</w:t>
      </w:r>
      <w:r>
        <w:rPr>
          <w:rFonts w:ascii="Times New Roman" w:hAnsi="Times New Roman" w:eastAsia="Times New Roman" w:cs="Times New Roman"/>
          <w:w w:val="95"/>
        </w:rPr>
        <w:t>OQ</w:t>
      </w:r>
      <w:r>
        <w:rPr>
          <w:w w:val="95"/>
        </w:rPr>
        <w:t>）和性能确认（</w:t>
      </w:r>
      <w:r>
        <w:rPr>
          <w:rFonts w:ascii="Times New Roman" w:hAnsi="Times New Roman" w:eastAsia="Times New Roman" w:cs="Times New Roman"/>
          <w:w w:val="95"/>
        </w:rPr>
        <w:t>PQ</w:t>
      </w:r>
      <w:r>
        <w:rPr>
          <w:w w:val="95"/>
        </w:rPr>
        <w:t>），其中设计确认可包括用户</w:t>
      </w:r>
      <w:r>
        <w:rPr>
          <w:spacing w:val="102"/>
          <w:w w:val="95"/>
        </w:rPr>
        <w:t xml:space="preserve"> </w:t>
      </w:r>
      <w:r>
        <w:rPr>
          <w:w w:val="95"/>
        </w:rPr>
        <w:t>需求（</w:t>
      </w:r>
      <w:r>
        <w:rPr>
          <w:rFonts w:ascii="Times New Roman" w:hAnsi="Times New Roman" w:eastAsia="Times New Roman" w:cs="Times New Roman"/>
          <w:w w:val="95"/>
        </w:rPr>
        <w:t>URS</w:t>
      </w:r>
      <w:r>
        <w:rPr>
          <w:w w:val="95"/>
        </w:rPr>
        <w:t>）、工厂验收测试（</w:t>
      </w:r>
      <w:r>
        <w:rPr>
          <w:rFonts w:ascii="Times New Roman" w:hAnsi="Times New Roman" w:eastAsia="Times New Roman" w:cs="Times New Roman"/>
          <w:w w:val="95"/>
        </w:rPr>
        <w:t>FAT</w:t>
      </w:r>
      <w:r>
        <w:rPr>
          <w:w w:val="95"/>
        </w:rPr>
        <w:t>）、现场验收测试（</w:t>
      </w:r>
      <w:r>
        <w:rPr>
          <w:rFonts w:ascii="Times New Roman" w:hAnsi="Times New Roman" w:eastAsia="Times New Roman" w:cs="Times New Roman"/>
          <w:w w:val="95"/>
        </w:rPr>
        <w:t>SAT</w:t>
      </w:r>
      <w:r>
        <w:rPr>
          <w:w w:val="95"/>
        </w:rPr>
        <w:t>）</w:t>
      </w:r>
      <w:r>
        <w:rPr>
          <w:spacing w:val="102"/>
          <w:w w:val="95"/>
        </w:rPr>
        <w:t xml:space="preserve"> </w:t>
      </w:r>
      <w:r>
        <w:rPr>
          <w:spacing w:val="-4"/>
          <w:w w:val="95"/>
        </w:rPr>
        <w:t>等内容，企业可结合工程领域相关规范要求组织开展。如涉及软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件或者计算机化系统，应当基于风险确定确认与验证的范围和程</w:t>
      </w:r>
      <w:r>
        <w:rPr>
          <w:spacing w:val="134"/>
          <w:w w:val="95"/>
        </w:rPr>
        <w:t xml:space="preserve"> </w:t>
      </w:r>
      <w:r>
        <w:t>度，包括用于纯化水生产、控制和监测的计算机化系统。</w:t>
      </w:r>
    </w:p>
    <w:p w14:paraId="6F880C81">
      <w:pPr>
        <w:pStyle w:val="2"/>
        <w:spacing w:before="44" w:line="240" w:lineRule="auto"/>
        <w:ind w:left="747" w:right="0"/>
        <w:jc w:val="left"/>
      </w:pPr>
      <w:bookmarkStart w:id="28" w:name="（1）设计确认（DQ）"/>
      <w:bookmarkEnd w:id="28"/>
      <w:r>
        <w:t>（1）设计确认（</w:t>
      </w:r>
      <w:r>
        <w:rPr>
          <w:rFonts w:ascii="Times New Roman" w:hAnsi="Times New Roman" w:eastAsia="Times New Roman" w:cs="Times New Roman"/>
        </w:rPr>
        <w:t>DQ</w:t>
      </w:r>
      <w:r>
        <w:t>）</w:t>
      </w:r>
    </w:p>
    <w:p w14:paraId="27749399">
      <w:pPr>
        <w:pStyle w:val="2"/>
        <w:spacing w:before="118" w:line="307" w:lineRule="auto"/>
        <w:ind w:right="211" w:firstLine="640"/>
        <w:jc w:val="both"/>
      </w:pPr>
      <w:r>
        <w:rPr>
          <w:rFonts w:ascii="Wingdings" w:hAnsi="Wingdings" w:eastAsia="Wingdings" w:cs="Wingdings"/>
          <w:spacing w:val="-3"/>
          <w:w w:val="95"/>
        </w:rPr>
        <w:t></w:t>
      </w:r>
      <w:r>
        <w:rPr>
          <w:spacing w:val="-3"/>
          <w:w w:val="95"/>
        </w:rPr>
        <w:t>设计确认（</w:t>
      </w:r>
      <w:r>
        <w:rPr>
          <w:rFonts w:ascii="Times New Roman" w:hAnsi="Times New Roman" w:eastAsia="Times New Roman" w:cs="Times New Roman"/>
          <w:spacing w:val="-3"/>
          <w:w w:val="95"/>
        </w:rPr>
        <w:t>DQ</w:t>
      </w:r>
      <w:r>
        <w:rPr>
          <w:spacing w:val="-3"/>
          <w:w w:val="95"/>
        </w:rPr>
        <w:t>）旨在证明制药用水系统的设计满足使用需</w:t>
      </w:r>
      <w:r>
        <w:rPr>
          <w:w w:val="99"/>
        </w:rPr>
        <w:t xml:space="preserve"> </w:t>
      </w:r>
      <w:r>
        <w:t>求并符合药品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t>的要求。企业通常在设计文件确定后编写设</w:t>
      </w:r>
      <w:r>
        <w:rPr>
          <w:w w:val="99"/>
        </w:rPr>
        <w:t xml:space="preserve"> </w:t>
      </w:r>
      <w:r>
        <w:rPr>
          <w:spacing w:val="2"/>
        </w:rPr>
        <w:t>计确认报告，其中包括对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的响应。设计确认方面检查应当</w:t>
      </w:r>
      <w:r>
        <w:rPr>
          <w:w w:val="99"/>
        </w:rPr>
        <w:t xml:space="preserve"> </w:t>
      </w:r>
      <w:r>
        <w:rPr>
          <w:spacing w:val="-4"/>
          <w:w w:val="95"/>
        </w:rPr>
        <w:t>与纯化水制备、储存与分配现场检查相结合，以确认系统设计的</w:t>
      </w:r>
      <w:r>
        <w:rPr>
          <w:spacing w:val="134"/>
          <w:w w:val="95"/>
        </w:rPr>
        <w:t xml:space="preserve"> </w:t>
      </w:r>
      <w:r>
        <w:rPr>
          <w:spacing w:val="5"/>
        </w:rPr>
        <w:t>合理性。设计确认应当关注以下内容：</w:t>
      </w:r>
      <w:r>
        <w:rPr>
          <w:rFonts w:ascii="Times New Roman" w:hAnsi="Times New Roman" w:eastAsia="Times New Roman" w:cs="Times New Roman"/>
          <w:spacing w:val="5"/>
        </w:rPr>
        <w:t>URS</w:t>
      </w:r>
      <w:r>
        <w:rPr>
          <w:rFonts w:ascii="Times New Roman" w:hAnsi="Times New Roman" w:eastAsia="Times New Roman" w:cs="Times New Roman"/>
          <w:spacing w:val="-5"/>
        </w:rPr>
        <w:t xml:space="preserve"> </w:t>
      </w:r>
      <w:r>
        <w:rPr>
          <w:spacing w:val="5"/>
        </w:rPr>
        <w:t>基本要求，应当在</w:t>
      </w:r>
      <w:r>
        <w:rPr>
          <w:w w:val="99"/>
        </w:rPr>
        <w:t xml:space="preserve"> </w:t>
      </w:r>
      <w:r>
        <w:rPr>
          <w:spacing w:val="6"/>
        </w:rPr>
        <w:t>新建水系统或水系统变更时，由使用者起草系统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URS</w:t>
      </w:r>
      <w:r>
        <w:rPr>
          <w:spacing w:val="3"/>
        </w:rPr>
        <w:t>，应当规</w:t>
      </w:r>
      <w:r>
        <w:rPr>
          <w:w w:val="99"/>
        </w:rPr>
        <w:t xml:space="preserve"> </w:t>
      </w:r>
      <w:r>
        <w:rPr>
          <w:spacing w:val="-4"/>
          <w:w w:val="95"/>
        </w:rPr>
        <w:t>定水系统的规范标准。需要考虑并构建系统质量必需的要素（如</w:t>
      </w:r>
      <w:r>
        <w:rPr>
          <w:spacing w:val="134"/>
          <w:w w:val="95"/>
        </w:rPr>
        <w:t xml:space="preserve"> </w:t>
      </w:r>
      <w:r>
        <w:rPr>
          <w:rFonts w:ascii="Times New Roman" w:hAnsi="Times New Roman" w:eastAsia="Times New Roman" w:cs="Times New Roman"/>
        </w:rPr>
        <w:t>CQA</w:t>
      </w:r>
      <w:r>
        <w:t>、</w:t>
      </w:r>
      <w:r>
        <w:rPr>
          <w:rFonts w:ascii="Times New Roman" w:hAnsi="Times New Roman" w:eastAsia="Times New Roman" w:cs="Times New Roman"/>
        </w:rPr>
        <w:t>CPP</w:t>
      </w:r>
      <w:r>
        <w:t>）并将所有</w:t>
      </w:r>
      <w:r>
        <w:rPr>
          <w:spacing w:val="-95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风险降低到可接受的水平。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15"/>
        </w:rPr>
        <w:t xml:space="preserve"> </w:t>
      </w:r>
      <w:r>
        <w:t>应</w:t>
      </w:r>
      <w:r>
        <w:rPr>
          <w:w w:val="99"/>
        </w:rPr>
        <w:t xml:space="preserve"> </w:t>
      </w:r>
      <w:r>
        <w:t>当是整个确认生命周期的参考要点。</w:t>
      </w:r>
    </w:p>
    <w:p w14:paraId="33B1ED13">
      <w:pPr>
        <w:pStyle w:val="2"/>
        <w:spacing w:before="53" w:line="314" w:lineRule="auto"/>
        <w:ind w:right="0" w:firstLine="640"/>
        <w:jc w:val="left"/>
      </w:pPr>
      <w:r>
        <w:rPr>
          <w:rFonts w:ascii="Wingdings" w:hAnsi="Wingdings" w:eastAsia="Wingdings" w:cs="Wingdings"/>
        </w:rPr>
        <w:t></w:t>
      </w:r>
      <w:r>
        <w:t>检查纯化水制备和分配系统的所有设计文件（如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t>、相</w:t>
      </w:r>
      <w:r>
        <w:rPr>
          <w:w w:val="99"/>
        </w:rPr>
        <w:t xml:space="preserve"> </w:t>
      </w:r>
      <w:r>
        <w:t>关图纸、功能设计说明、参数计算书、设备清单、仪表清单等）</w:t>
      </w:r>
      <w:r>
        <w:rPr>
          <w:w w:val="99"/>
        </w:rPr>
        <w:t xml:space="preserve"> </w:t>
      </w:r>
      <w:r>
        <w:rPr>
          <w:spacing w:val="-4"/>
        </w:rPr>
        <w:t>内容是否完整、可用且经过批准。应当根据上述材料并结合实地</w:t>
      </w:r>
      <w:r>
        <w:rPr>
          <w:w w:val="99"/>
        </w:rPr>
        <w:t xml:space="preserve"> </w:t>
      </w:r>
      <w:r>
        <w:t>检查，确认纯化水制备、储存与分配系统设计满足规范要求。</w:t>
      </w:r>
    </w:p>
    <w:p w14:paraId="72053226">
      <w:pPr>
        <w:pStyle w:val="2"/>
        <w:spacing w:before="41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应当对纯化水系统制备、储存与分配系统的设计能力进行</w:t>
      </w:r>
      <w:r>
        <w:rPr>
          <w:w w:val="99"/>
        </w:rPr>
        <w:t xml:space="preserve"> </w:t>
      </w:r>
      <w:r>
        <w:rPr>
          <w:spacing w:val="-4"/>
          <w:w w:val="95"/>
        </w:rPr>
        <w:t>确认：检查分配系统泵的技术参数及管网计算书，确认其能否满</w:t>
      </w:r>
    </w:p>
    <w:p w14:paraId="2AC9F671">
      <w:pPr>
        <w:spacing w:after="0" w:line="304" w:lineRule="auto"/>
        <w:jc w:val="left"/>
        <w:sectPr>
          <w:pgSz w:w="11910" w:h="16840"/>
          <w:pgMar w:top="1580" w:right="1260" w:bottom="2480" w:left="1480" w:header="0" w:footer="2285" w:gutter="0"/>
          <w:cols w:space="720" w:num="1"/>
        </w:sectPr>
      </w:pPr>
    </w:p>
    <w:p w14:paraId="0F5D6015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07A955BB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2316666">
      <w:pPr>
        <w:pStyle w:val="2"/>
        <w:spacing w:before="0" w:line="302" w:lineRule="auto"/>
        <w:ind w:right="0"/>
        <w:jc w:val="left"/>
      </w:pPr>
      <w:r>
        <w:rPr>
          <w:spacing w:val="3"/>
        </w:rPr>
        <w:t>足使用点的流速、压力等需求，管路设计是否满足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2"/>
        </w:rPr>
        <w:t>中坡度</w:t>
      </w:r>
      <w:r>
        <w:rPr>
          <w:w w:val="99"/>
        </w:rPr>
        <w:t xml:space="preserve"> </w:t>
      </w:r>
      <w:r>
        <w:t>要求。</w:t>
      </w:r>
    </w:p>
    <w:p w14:paraId="2EA1F511">
      <w:pPr>
        <w:pStyle w:val="2"/>
        <w:spacing w:before="57" w:line="312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检查制备和分配系统中采用的设备、部件、系统仪表等规</w:t>
      </w:r>
      <w:r>
        <w:rPr>
          <w:w w:val="99"/>
        </w:rPr>
        <w:t xml:space="preserve"> </w:t>
      </w:r>
      <w:r>
        <w:rPr>
          <w:spacing w:val="-8"/>
        </w:rPr>
        <w:t>格、材质、结构、精度等是否满足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t>和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-5"/>
        </w:rPr>
        <w:t>要求。清洗和消</w:t>
      </w:r>
      <w:r>
        <w:rPr>
          <w:w w:val="99"/>
        </w:rPr>
        <w:t xml:space="preserve"> </w:t>
      </w:r>
      <w:r>
        <w:rPr>
          <w:spacing w:val="-4"/>
          <w:w w:val="95"/>
        </w:rPr>
        <w:t>毒方法是否能够涵盖制备和分配系统，消毒效果能否保证，并确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保消毒方法不影响水质。检查关键参数是否有适当的仪表、部件</w:t>
      </w:r>
      <w:r>
        <w:rPr>
          <w:spacing w:val="134"/>
          <w:w w:val="95"/>
        </w:rPr>
        <w:t xml:space="preserve"> </w:t>
      </w:r>
      <w:r>
        <w:t>对其进行测量，并有记录。</w:t>
      </w:r>
    </w:p>
    <w:p w14:paraId="223D53CB">
      <w:pPr>
        <w:pStyle w:val="2"/>
        <w:spacing w:before="44" w:line="316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针对高致敏性、某些激素类、细胞毒性类、高活性化学药</w:t>
      </w:r>
      <w:r>
        <w:rPr>
          <w:w w:val="99"/>
        </w:rPr>
        <w:t xml:space="preserve"> </w:t>
      </w:r>
      <w:r>
        <w:rPr>
          <w:spacing w:val="-4"/>
          <w:w w:val="95"/>
        </w:rPr>
        <w:t>品以及生物（生化）药的生产线，检查企业是否通过采取必要的</w:t>
      </w:r>
      <w:r>
        <w:rPr>
          <w:spacing w:val="133"/>
          <w:w w:val="95"/>
        </w:rPr>
        <w:t xml:space="preserve"> </w:t>
      </w:r>
      <w:r>
        <w:rPr>
          <w:spacing w:val="-15"/>
        </w:rPr>
        <w:t>措施，防止因水系统设计对其他药品生产造成污染；对于生物（生</w:t>
      </w:r>
      <w:r>
        <w:rPr>
          <w:w w:val="99"/>
        </w:rPr>
        <w:t xml:space="preserve"> </w:t>
      </w:r>
      <w:r>
        <w:rPr>
          <w:spacing w:val="-4"/>
          <w:w w:val="95"/>
        </w:rPr>
        <w:t>化）药等生产线涉及有菌（毒）区的，检查企业是否采取必要的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措施，防止有菌（毒）区的水系统对其他区域造成污染。如设置</w:t>
      </w:r>
      <w:r>
        <w:rPr>
          <w:spacing w:val="135"/>
          <w:w w:val="95"/>
        </w:rPr>
        <w:t xml:space="preserve"> </w:t>
      </w:r>
      <w:r>
        <w:t>独立的循环系统等。</w:t>
      </w:r>
    </w:p>
    <w:p w14:paraId="50A25844">
      <w:pPr>
        <w:pStyle w:val="2"/>
        <w:spacing w:before="38" w:line="302" w:lineRule="auto"/>
        <w:ind w:left="747" w:right="0"/>
        <w:jc w:val="left"/>
      </w:pPr>
      <w:bookmarkStart w:id="29" w:name="（2）安装确认（IQ）"/>
      <w:bookmarkEnd w:id="29"/>
      <w:r>
        <w:t>（2）安装确认（</w:t>
      </w:r>
      <w:r>
        <w:rPr>
          <w:rFonts w:ascii="Times New Roman" w:hAnsi="Times New Roman" w:eastAsia="Times New Roman" w:cs="Times New Roman"/>
        </w:rPr>
        <w:t>IQ</w:t>
      </w:r>
      <w:r>
        <w:t>）</w:t>
      </w:r>
      <w:r>
        <w:rPr>
          <w:w w:val="99"/>
        </w:rPr>
        <w:t xml:space="preserve"> </w:t>
      </w:r>
      <w:r>
        <w:rPr>
          <w:spacing w:val="-5"/>
        </w:rPr>
        <w:t>安装确认（</w:t>
      </w:r>
      <w:r>
        <w:rPr>
          <w:rFonts w:ascii="Times New Roman" w:hAnsi="Times New Roman" w:eastAsia="Times New Roman" w:cs="Times New Roman"/>
          <w:spacing w:val="-5"/>
        </w:rPr>
        <w:t>IQ</w:t>
      </w:r>
      <w:r>
        <w:rPr>
          <w:spacing w:val="-5"/>
        </w:rPr>
        <w:t>）是通过现有文件记录的形式证明所安装或更</w:t>
      </w:r>
    </w:p>
    <w:p w14:paraId="32384757">
      <w:pPr>
        <w:pStyle w:val="2"/>
        <w:spacing w:before="26" w:line="321" w:lineRule="auto"/>
        <w:ind w:right="0"/>
        <w:jc w:val="left"/>
      </w:pPr>
      <w:r>
        <w:t>改的纯化水系统符合已批准的设计和生产厂家建议和/或用户的</w:t>
      </w:r>
      <w:r>
        <w:rPr>
          <w:spacing w:val="-132"/>
        </w:rPr>
        <w:t xml:space="preserve"> </w:t>
      </w:r>
      <w:r>
        <w:t>要求。安装确认应当关注以下方面：</w:t>
      </w:r>
    </w:p>
    <w:p w14:paraId="6DDA4B20">
      <w:pPr>
        <w:pStyle w:val="2"/>
        <w:spacing w:line="30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检查水系统安装确认资料中与水直接接触材料的证明性资</w:t>
      </w:r>
      <w:r>
        <w:rPr>
          <w:w w:val="99"/>
        </w:rPr>
        <w:t xml:space="preserve"> </w:t>
      </w:r>
      <w:r>
        <w:t>料是否符合要求。</w:t>
      </w:r>
    </w:p>
    <w:p w14:paraId="242A4B3A">
      <w:pPr>
        <w:pStyle w:val="2"/>
        <w:spacing w:before="54" w:line="304" w:lineRule="auto"/>
        <w:ind w:right="1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检查是否对水系统部件进行确认，包括主要部件的型号、</w:t>
      </w:r>
      <w:r>
        <w:rPr>
          <w:w w:val="99"/>
        </w:rPr>
        <w:t xml:space="preserve"> </w:t>
      </w:r>
      <w:r>
        <w:rPr>
          <w:spacing w:val="-4"/>
          <w:w w:val="95"/>
        </w:rPr>
        <w:t>安装位置、安装方法是否按照设计图纸和安装说明进行安装。如</w:t>
      </w:r>
    </w:p>
    <w:p w14:paraId="09DB046D">
      <w:pPr>
        <w:spacing w:after="0" w:line="304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1871AEC2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EF11338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FD7FAC3">
      <w:pPr>
        <w:pStyle w:val="2"/>
        <w:spacing w:before="0" w:line="321" w:lineRule="auto"/>
        <w:ind w:right="0"/>
        <w:jc w:val="left"/>
      </w:pPr>
      <w:r>
        <w:t>过滤装置的规格型号、安装方法，取样阀的安装位置是否正确，</w:t>
      </w:r>
      <w:r>
        <w:rPr>
          <w:w w:val="99"/>
        </w:rPr>
        <w:t xml:space="preserve"> </w:t>
      </w:r>
      <w:r>
        <w:t>储罐呼吸过滤器出厂、安装前完整性测试是否合格等。</w:t>
      </w:r>
    </w:p>
    <w:p w14:paraId="20EF066E">
      <w:pPr>
        <w:pStyle w:val="2"/>
        <w:spacing w:line="240" w:lineRule="auto"/>
        <w:ind w:left="747" w:right="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检查是否保存安装时的焊接资料，是否对焊接质量进行确</w:t>
      </w:r>
    </w:p>
    <w:p w14:paraId="3B005563">
      <w:pPr>
        <w:spacing w:before="2" w:line="240" w:lineRule="auto"/>
        <w:rPr>
          <w:rFonts w:ascii="宋体" w:hAnsi="宋体" w:eastAsia="宋体" w:cs="宋体"/>
          <w:sz w:val="9"/>
          <w:szCs w:val="9"/>
        </w:rPr>
      </w:pPr>
    </w:p>
    <w:p w14:paraId="76742C7C">
      <w:pPr>
        <w:pStyle w:val="2"/>
        <w:spacing w:before="0" w:line="240" w:lineRule="auto"/>
        <w:ind w:right="0"/>
        <w:jc w:val="left"/>
      </w:pPr>
      <w:r>
        <w:t>认。</w:t>
      </w:r>
    </w:p>
    <w:p w14:paraId="4823DFE6">
      <w:pPr>
        <w:pStyle w:val="2"/>
        <w:spacing w:before="140" w:line="240" w:lineRule="auto"/>
        <w:ind w:left="747" w:right="0"/>
        <w:jc w:val="left"/>
        <w:rPr>
          <w:rFonts w:ascii="Times New Roman" w:hAnsi="Times New Roman" w:eastAsia="Times New Roman" w:cs="Times New Roman"/>
        </w:rPr>
      </w:pPr>
      <w:r>
        <w:rPr>
          <w:rFonts w:ascii="Wingdings" w:hAnsi="Wingdings" w:eastAsia="Wingdings" w:cs="Wingdings"/>
          <w:spacing w:val="-3"/>
        </w:rPr>
        <w:t></w:t>
      </w:r>
      <w:r>
        <w:rPr>
          <w:spacing w:val="-3"/>
        </w:rPr>
        <w:t>检查是否对水系统公用工程进行确认或调试，包括对</w:t>
      </w:r>
      <w:r>
        <w:rPr>
          <w:spacing w:val="-95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</w:p>
    <w:p w14:paraId="767418E8">
      <w:pPr>
        <w:spacing w:before="1" w:line="240" w:lineRule="auto"/>
        <w:rPr>
          <w:rFonts w:ascii="Times New Roman" w:hAnsi="Times New Roman" w:eastAsia="Times New Roman" w:cs="Times New Roman"/>
          <w:sz w:val="10"/>
          <w:szCs w:val="10"/>
        </w:rPr>
      </w:pPr>
    </w:p>
    <w:p w14:paraId="130AD9D0">
      <w:pPr>
        <w:pStyle w:val="2"/>
        <w:spacing w:before="0" w:line="314" w:lineRule="auto"/>
        <w:ind w:right="211"/>
        <w:jc w:val="both"/>
      </w:pPr>
      <w:r>
        <w:t>设施的安装确认和非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t>设施的连接及运行情况，如对电力连</w:t>
      </w:r>
      <w:r>
        <w:rPr>
          <w:w w:val="99"/>
        </w:rPr>
        <w:t xml:space="preserve"> </w:t>
      </w:r>
      <w:r>
        <w:rPr>
          <w:spacing w:val="-4"/>
          <w:w w:val="95"/>
        </w:rPr>
        <w:t>接、压缩空气、工业蒸汽、供水系统等进行确认或调试。需进行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防结露处理的管网（如常温循环系统的技术夹层管网）是否进行</w:t>
      </w:r>
      <w:r>
        <w:rPr>
          <w:spacing w:val="134"/>
          <w:w w:val="95"/>
        </w:rPr>
        <w:t xml:space="preserve"> </w:t>
      </w:r>
      <w:r>
        <w:t>了保温处理。</w:t>
      </w:r>
    </w:p>
    <w:p w14:paraId="34FE4D08">
      <w:pPr>
        <w:pStyle w:val="2"/>
        <w:spacing w:before="43" w:line="304" w:lineRule="auto"/>
        <w:ind w:right="2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检查循环系统储罐顶部设置的喷淋装置是否安装正确（如</w:t>
      </w:r>
      <w:r>
        <w:rPr>
          <w:w w:val="99"/>
        </w:rPr>
        <w:t xml:space="preserve"> </w:t>
      </w:r>
      <w:r>
        <w:t>有）。</w:t>
      </w:r>
    </w:p>
    <w:p w14:paraId="4EE877F2">
      <w:pPr>
        <w:pStyle w:val="2"/>
        <w:spacing w:before="54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检查是否开展制药用水系统管路压力测试、清洗和酸洗钝</w:t>
      </w:r>
      <w:r>
        <w:rPr>
          <w:w w:val="99"/>
        </w:rPr>
        <w:t xml:space="preserve"> </w:t>
      </w:r>
      <w:r>
        <w:t>化的确认。</w:t>
      </w:r>
    </w:p>
    <w:p w14:paraId="3B952B29">
      <w:pPr>
        <w:pStyle w:val="2"/>
        <w:spacing w:before="54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检查是否对制药用水系统坡度和死角进行确认，制定的坡</w:t>
      </w:r>
      <w:r>
        <w:rPr>
          <w:w w:val="99"/>
        </w:rPr>
        <w:t xml:space="preserve"> </w:t>
      </w:r>
      <w:r>
        <w:t>度标准是否合理，系统管网的坡度应当确保能在最低点排空。</w:t>
      </w:r>
    </w:p>
    <w:p w14:paraId="2196BDD4">
      <w:pPr>
        <w:pStyle w:val="2"/>
        <w:spacing w:before="56" w:line="302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检查是否对自控系统进行确认：自控系统的安装确认，一</w:t>
      </w:r>
      <w:r>
        <w:rPr>
          <w:w w:val="99"/>
        </w:rPr>
        <w:t xml:space="preserve"> </w:t>
      </w:r>
      <w:r>
        <w:rPr>
          <w:spacing w:val="-3"/>
          <w:w w:val="95"/>
        </w:rPr>
        <w:t>般包括硬件部件、电路图、输入输出、人机接口（</w:t>
      </w:r>
      <w:r>
        <w:rPr>
          <w:rFonts w:ascii="Times New Roman" w:hAnsi="Times New Roman" w:eastAsia="Times New Roman" w:cs="Times New Roman"/>
          <w:spacing w:val="-3"/>
          <w:w w:val="95"/>
        </w:rPr>
        <w:t>HMI</w:t>
      </w:r>
      <w:r>
        <w:rPr>
          <w:spacing w:val="-3"/>
          <w:w w:val="95"/>
        </w:rPr>
        <w:t>）操作画</w:t>
      </w:r>
      <w:r>
        <w:rPr>
          <w:spacing w:val="126"/>
          <w:w w:val="95"/>
        </w:rPr>
        <w:t xml:space="preserve"> </w:t>
      </w:r>
      <w:r>
        <w:t>面、软件版本的检查等。</w:t>
      </w:r>
    </w:p>
    <w:p w14:paraId="41F86A5F">
      <w:pPr>
        <w:pStyle w:val="2"/>
        <w:spacing w:before="59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检查是否对仪器仪表进行校准：系统关键仪表和安装确认</w:t>
      </w:r>
      <w:r>
        <w:rPr>
          <w:w w:val="99"/>
        </w:rPr>
        <w:t xml:space="preserve"> </w:t>
      </w:r>
      <w:r>
        <w:t>用的仪表是否经过校准并在有效期内。</w:t>
      </w:r>
    </w:p>
    <w:p w14:paraId="35D1B6C2">
      <w:pPr>
        <w:pStyle w:val="2"/>
        <w:spacing w:before="54" w:line="240" w:lineRule="auto"/>
        <w:ind w:left="747" w:right="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检查循环泵是否为卫生型设计，并具有适当密封。如果有</w:t>
      </w:r>
    </w:p>
    <w:p w14:paraId="0E75FC31">
      <w:pPr>
        <w:spacing w:after="0" w:line="240" w:lineRule="auto"/>
        <w:jc w:val="left"/>
        <w:sectPr>
          <w:pgSz w:w="11910" w:h="16840"/>
          <w:pgMar w:top="1580" w:right="1260" w:bottom="2480" w:left="1480" w:header="0" w:footer="2285" w:gutter="0"/>
          <w:cols w:space="720" w:num="1"/>
        </w:sectPr>
      </w:pPr>
    </w:p>
    <w:p w14:paraId="6B57DEE3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38E8EBD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DB8388E">
      <w:pPr>
        <w:pStyle w:val="2"/>
        <w:spacing w:before="0" w:line="321" w:lineRule="auto"/>
        <w:ind w:right="112"/>
        <w:jc w:val="left"/>
      </w:pPr>
      <w:r>
        <w:rPr>
          <w:spacing w:val="-4"/>
        </w:rPr>
        <w:t>备用泵，检查其参数设置或管理方式是否可避免系统存在循环死</w:t>
      </w:r>
      <w:r>
        <w:rPr>
          <w:w w:val="99"/>
        </w:rPr>
        <w:t xml:space="preserve"> </w:t>
      </w:r>
      <w:r>
        <w:t>角，比如备用泵在不使用的情况下，不应当有水滞留在泵体内，</w:t>
      </w:r>
      <w:r>
        <w:rPr>
          <w:w w:val="99"/>
        </w:rPr>
        <w:t xml:space="preserve"> </w:t>
      </w:r>
      <w:r>
        <w:t>且保证两台水泵能够顺利切换及使用前的预冲洗或预消毒。</w:t>
      </w:r>
    </w:p>
    <w:p w14:paraId="2B05F808">
      <w:pPr>
        <w:pStyle w:val="2"/>
        <w:spacing w:before="34" w:line="316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检查是否设置合理的取样位置及取样相关硬件设施，如制</w:t>
      </w:r>
      <w:r>
        <w:rPr>
          <w:w w:val="99"/>
        </w:rPr>
        <w:t xml:space="preserve"> </w:t>
      </w:r>
      <w:r>
        <w:rPr>
          <w:spacing w:val="-4"/>
        </w:rPr>
        <w:t>备的纯化水进入纯化水储罐前的取样点、各用水点以及总送水点、</w:t>
      </w:r>
      <w:r>
        <w:rPr>
          <w:w w:val="99"/>
        </w:rPr>
        <w:t xml:space="preserve"> </w:t>
      </w:r>
      <w:r>
        <w:rPr>
          <w:spacing w:val="-4"/>
        </w:rPr>
        <w:t>总回水点等位置。纯化水储存与分配系统取样阀的设置应当满足</w:t>
      </w:r>
      <w:r>
        <w:rPr>
          <w:w w:val="99"/>
        </w:rPr>
        <w:t xml:space="preserve"> </w:t>
      </w:r>
      <w:r>
        <w:rPr>
          <w:spacing w:val="-4"/>
        </w:rPr>
        <w:t>卫生型要求，取样阀位置设计应当考虑与取样相关的内部和外部</w:t>
      </w:r>
      <w:r>
        <w:rPr>
          <w:w w:val="99"/>
        </w:rPr>
        <w:t xml:space="preserve"> </w:t>
      </w:r>
      <w:r>
        <w:t>结构的合理性。</w:t>
      </w:r>
    </w:p>
    <w:p w14:paraId="6E4261B1">
      <w:pPr>
        <w:pStyle w:val="2"/>
        <w:spacing w:before="38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检查储罐与使用点之间是否为封闭的循环系统，并对循环</w:t>
      </w:r>
      <w:r>
        <w:rPr>
          <w:w w:val="99"/>
        </w:rPr>
        <w:t xml:space="preserve"> </w:t>
      </w:r>
      <w:r>
        <w:t>流速进行控制。</w:t>
      </w:r>
    </w:p>
    <w:p w14:paraId="32980D4E">
      <w:pPr>
        <w:pStyle w:val="2"/>
        <w:spacing w:before="54" w:line="316" w:lineRule="auto"/>
        <w:ind w:right="43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检查总送水管是否设置在储罐底部最低点，排放口是否设</w:t>
      </w:r>
      <w:r>
        <w:rPr>
          <w:w w:val="99"/>
        </w:rPr>
        <w:t xml:space="preserve"> </w:t>
      </w:r>
      <w:r>
        <w:rPr>
          <w:spacing w:val="-4"/>
          <w:w w:val="95"/>
        </w:rPr>
        <w:t>置在纯化水储罐的最低处，且整个罐体不应当出现使水滞留的部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位。储罐未设置液位计量装置时，应当有方法能有效地避免由于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液位过高导致喷淋系统不能正常工作及溢流的产生。应当尽量避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免在纯化水储罐侧壁或底部安装取样阀，如有，需关注是否采取</w:t>
      </w:r>
      <w:r>
        <w:rPr>
          <w:spacing w:val="133"/>
          <w:w w:val="95"/>
        </w:rPr>
        <w:t xml:space="preserve"> </w:t>
      </w:r>
      <w:r>
        <w:t>相关措施防止对储罐水质产生污染。</w:t>
      </w:r>
    </w:p>
    <w:p w14:paraId="037D7E40">
      <w:pPr>
        <w:pStyle w:val="2"/>
        <w:spacing w:before="38" w:line="316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检查主循环管路、使用点管路、储罐、仪表配件等是否存</w:t>
      </w:r>
      <w:r>
        <w:rPr>
          <w:w w:val="99"/>
        </w:rPr>
        <w:t xml:space="preserve"> </w:t>
      </w:r>
      <w:r>
        <w:rPr>
          <w:spacing w:val="-4"/>
        </w:rPr>
        <w:t>在死角、盲管；是否对死角、盲管等进行识别，并采取有效措施</w:t>
      </w:r>
      <w:r>
        <w:rPr>
          <w:w w:val="99"/>
        </w:rPr>
        <w:t xml:space="preserve"> </w:t>
      </w:r>
      <w:r>
        <w:rPr>
          <w:spacing w:val="-4"/>
        </w:rPr>
        <w:t>避免系统中微生物滋生。是否存在不同管径间变径的情况，企业</w:t>
      </w:r>
      <w:r>
        <w:rPr>
          <w:w w:val="99"/>
        </w:rPr>
        <w:t xml:space="preserve"> </w:t>
      </w:r>
      <w:r>
        <w:rPr>
          <w:spacing w:val="-4"/>
        </w:rPr>
        <w:t>选择的变径方式是否可以避免产生死角，是否可以排尽，关注对</w:t>
      </w:r>
      <w:r>
        <w:rPr>
          <w:w w:val="99"/>
        </w:rPr>
        <w:t xml:space="preserve"> </w:t>
      </w:r>
      <w:r>
        <w:rPr>
          <w:spacing w:val="-4"/>
        </w:rPr>
        <w:t>流速的影响。应当关注循环管路的管径与阀门连接方式的匹配性。</w:t>
      </w:r>
    </w:p>
    <w:p w14:paraId="6A4C21B0">
      <w:pPr>
        <w:spacing w:after="0" w:line="316" w:lineRule="auto"/>
        <w:jc w:val="left"/>
        <w:sectPr>
          <w:footerReference r:id="rId7" w:type="default"/>
          <w:pgSz w:w="11910" w:h="16840"/>
          <w:pgMar w:top="1580" w:right="1040" w:bottom="2480" w:left="1480" w:header="0" w:footer="2285" w:gutter="0"/>
          <w:pgNumType w:start="10"/>
          <w:cols w:space="720" w:num="1"/>
        </w:sectPr>
      </w:pPr>
    </w:p>
    <w:p w14:paraId="014E0839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3DFDE07E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B0383E8">
      <w:pPr>
        <w:pStyle w:val="2"/>
        <w:spacing w:before="0" w:line="302" w:lineRule="auto"/>
        <w:ind w:left="747" w:right="0"/>
        <w:jc w:val="left"/>
      </w:pPr>
      <w:bookmarkStart w:id="30" w:name="（3）运行确认（OQ）"/>
      <w:bookmarkEnd w:id="30"/>
      <w:r>
        <w:t>（3）运行确认（</w:t>
      </w:r>
      <w:r>
        <w:rPr>
          <w:rFonts w:ascii="Times New Roman" w:hAnsi="Times New Roman" w:eastAsia="Times New Roman" w:cs="Times New Roman"/>
        </w:rPr>
        <w:t>OQ</w:t>
      </w:r>
      <w:r>
        <w:t>）</w:t>
      </w:r>
      <w:r>
        <w:rPr>
          <w:w w:val="99"/>
        </w:rPr>
        <w:t xml:space="preserve"> </w:t>
      </w:r>
      <w:r>
        <w:rPr>
          <w:spacing w:val="3"/>
          <w:w w:val="95"/>
        </w:rPr>
        <w:t>运行确认（</w:t>
      </w:r>
      <w:r>
        <w:rPr>
          <w:rFonts w:ascii="Times New Roman" w:hAnsi="Times New Roman" w:eastAsia="Times New Roman" w:cs="Times New Roman"/>
          <w:spacing w:val="3"/>
          <w:w w:val="95"/>
        </w:rPr>
        <w:t>OQ</w:t>
      </w:r>
      <w:r>
        <w:rPr>
          <w:spacing w:val="3"/>
          <w:w w:val="95"/>
        </w:rPr>
        <w:t>）是通过现有文件记录的形式证明所安装或</w:t>
      </w:r>
    </w:p>
    <w:p w14:paraId="1A1CFD07">
      <w:pPr>
        <w:pStyle w:val="2"/>
        <w:spacing w:before="24" w:line="321" w:lineRule="auto"/>
        <w:ind w:right="0"/>
        <w:jc w:val="left"/>
      </w:pPr>
      <w:r>
        <w:rPr>
          <w:spacing w:val="7"/>
        </w:rPr>
        <w:t>更改的纯化水系统在其整个预期运行范围之内可按预期形式运</w:t>
      </w:r>
      <w:r>
        <w:rPr>
          <w:w w:val="99"/>
        </w:rPr>
        <w:t xml:space="preserve"> </w:t>
      </w:r>
      <w:r>
        <w:t>行。检查过程应当关注运行确认报告中以下内容：</w:t>
      </w:r>
    </w:p>
    <w:p w14:paraId="6DF10664">
      <w:pPr>
        <w:pStyle w:val="2"/>
        <w:spacing w:line="309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检查是否对纯化水的预处理、制备系统和循环分配系统进</w:t>
      </w:r>
      <w:r>
        <w:rPr>
          <w:w w:val="99"/>
        </w:rPr>
        <w:t xml:space="preserve"> </w:t>
      </w:r>
      <w:r>
        <w:rPr>
          <w:spacing w:val="-4"/>
          <w:w w:val="95"/>
        </w:rPr>
        <w:t>行确认。根据系统的设计，确认相应的装置是否正常工作，如原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水装置的液位控制以及机械过滤器、活性炭过滤器、软化器、反</w:t>
      </w:r>
      <w:r>
        <w:rPr>
          <w:spacing w:val="133"/>
          <w:w w:val="95"/>
        </w:rPr>
        <w:t xml:space="preserve"> </w:t>
      </w:r>
      <w:r>
        <w:rPr>
          <w:spacing w:val="-5"/>
          <w:w w:val="95"/>
        </w:rPr>
        <w:t>渗透、</w:t>
      </w:r>
      <w:r>
        <w:rPr>
          <w:rFonts w:ascii="Times New Roman" w:hAnsi="Times New Roman" w:eastAsia="Times New Roman" w:cs="Times New Roman"/>
          <w:spacing w:val="-5"/>
          <w:w w:val="95"/>
        </w:rPr>
        <w:t xml:space="preserve">EDI </w:t>
      </w:r>
      <w:r>
        <w:rPr>
          <w:w w:val="95"/>
        </w:rPr>
        <w:t>等，冲洗的流程是否与设计一致；是否对清洗与消毒</w:t>
      </w:r>
      <w:r>
        <w:rPr>
          <w:spacing w:val="-54"/>
          <w:w w:val="95"/>
        </w:rPr>
        <w:t xml:space="preserve"> </w:t>
      </w:r>
      <w:r>
        <w:rPr>
          <w:spacing w:val="5"/>
          <w:w w:val="95"/>
        </w:rPr>
        <w:t>功能进行确认；产水和储罐液位的联锁运行是否可靠，在消毒</w:t>
      </w:r>
      <w:r>
        <w:rPr>
          <w:rFonts w:ascii="Times New Roman" w:hAnsi="Times New Roman" w:eastAsia="Times New Roman" w:cs="Times New Roman"/>
          <w:spacing w:val="5"/>
          <w:w w:val="95"/>
        </w:rPr>
        <w:t>/</w:t>
      </w:r>
      <w:r>
        <w:rPr>
          <w:rFonts w:ascii="Times New Roman" w:hAnsi="Times New Roman" w:eastAsia="Times New Roman" w:cs="Times New Roman"/>
          <w:spacing w:val="9"/>
          <w:w w:val="95"/>
        </w:rPr>
        <w:t xml:space="preserve"> </w:t>
      </w:r>
      <w:r>
        <w:rPr>
          <w:spacing w:val="-3"/>
        </w:rPr>
        <w:t>运行过程中，原水泵、高压泵的频率是否可接受，各级</w:t>
      </w:r>
      <w:r>
        <w:rPr>
          <w:spacing w:val="-89"/>
        </w:rPr>
        <w:t xml:space="preserve"> </w:t>
      </w:r>
      <w:r>
        <w:rPr>
          <w:rFonts w:ascii="Times New Roman" w:hAnsi="Times New Roman" w:eastAsia="Times New Roman" w:cs="Times New Roman"/>
        </w:rPr>
        <w:t>RO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t>的产</w:t>
      </w:r>
      <w:r>
        <w:rPr>
          <w:w w:val="99"/>
        </w:rPr>
        <w:t xml:space="preserve"> </w:t>
      </w:r>
      <w:r>
        <w:t>水率、水质，以及总产水率、</w:t>
      </w:r>
      <w:r>
        <w:rPr>
          <w:rFonts w:ascii="Times New Roman" w:hAnsi="Times New Roman" w:eastAsia="Times New Roman" w:cs="Times New Roman"/>
        </w:rPr>
        <w:t>EDI</w:t>
      </w:r>
      <w:r>
        <w:rPr>
          <w:rFonts w:ascii="Times New Roman" w:hAnsi="Times New Roman" w:eastAsia="Times New Roman" w:cs="Times New Roman"/>
          <w:spacing w:val="-11"/>
        </w:rPr>
        <w:t xml:space="preserve"> </w:t>
      </w:r>
      <w:r>
        <w:t>出水水质是否可接受等。</w:t>
      </w:r>
    </w:p>
    <w:p w14:paraId="6E040AD7">
      <w:pPr>
        <w:pStyle w:val="2"/>
        <w:spacing w:before="13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检查是否对循环泵和储罐液位、回路流量或回流压力的联</w:t>
      </w:r>
      <w:r>
        <w:rPr>
          <w:w w:val="99"/>
        </w:rPr>
        <w:t xml:space="preserve"> </w:t>
      </w:r>
      <w:r>
        <w:t>锁运行功能进行确认，是否能够保证回路流速满足设计要求。</w:t>
      </w:r>
    </w:p>
    <w:p w14:paraId="0915201A">
      <w:pPr>
        <w:pStyle w:val="2"/>
        <w:spacing w:before="54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检查是否对储罐喷淋装置的喷淋效果进行确认，如储罐喷</w:t>
      </w:r>
      <w:r>
        <w:rPr>
          <w:w w:val="99"/>
        </w:rPr>
        <w:t xml:space="preserve"> </w:t>
      </w:r>
      <w:r>
        <w:t>淋球是否能覆盖储罐内全部位置。</w:t>
      </w:r>
    </w:p>
    <w:p w14:paraId="7DD2025A">
      <w:pPr>
        <w:pStyle w:val="2"/>
        <w:spacing w:before="56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检查是否对循环能力进行确认。是否确认在线循环参数，</w:t>
      </w:r>
      <w:r>
        <w:rPr>
          <w:w w:val="99"/>
        </w:rPr>
        <w:t xml:space="preserve"> </w:t>
      </w:r>
      <w:r>
        <w:t>如流速、电导率等是否满足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t>要求，是否保持湍流。</w:t>
      </w:r>
    </w:p>
    <w:p w14:paraId="43576B43">
      <w:pPr>
        <w:pStyle w:val="2"/>
        <w:spacing w:before="20" w:line="31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检查是否对峰值用水量进行确认。即分配系统的用水量处</w:t>
      </w:r>
      <w:r>
        <w:rPr>
          <w:w w:val="99"/>
        </w:rPr>
        <w:t xml:space="preserve"> </w:t>
      </w:r>
      <w:r>
        <w:rPr>
          <w:spacing w:val="-9"/>
          <w:w w:val="95"/>
        </w:rPr>
        <w:t>于最大用量时，是否确认系统供水足够，泵的运转状态是否正常，</w:t>
      </w:r>
      <w:r>
        <w:rPr>
          <w:spacing w:val="1"/>
          <w:w w:val="95"/>
        </w:rPr>
        <w:t xml:space="preserve"> </w:t>
      </w:r>
      <w:r>
        <w:rPr>
          <w:spacing w:val="-4"/>
        </w:rPr>
        <w:t>回路压力是否保持正压，回水流速是否符合要求，管路是否泄漏</w:t>
      </w:r>
      <w:r>
        <w:rPr>
          <w:w w:val="99"/>
        </w:rPr>
        <w:t xml:space="preserve"> </w:t>
      </w:r>
      <w:r>
        <w:t>等。</w:t>
      </w:r>
    </w:p>
    <w:p w14:paraId="628E2358">
      <w:pPr>
        <w:spacing w:after="0" w:line="314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309F2F6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F62D718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400DFA8">
      <w:pPr>
        <w:pStyle w:val="2"/>
        <w:spacing w:before="0" w:line="312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检查是否对消毒功能进行确认，是否存在消毒死角或积聚</w:t>
      </w:r>
      <w:r>
        <w:rPr>
          <w:w w:val="99"/>
        </w:rPr>
        <w:t xml:space="preserve"> </w:t>
      </w:r>
      <w:r>
        <w:rPr>
          <w:spacing w:val="-4"/>
          <w:w w:val="95"/>
        </w:rPr>
        <w:t>残留的死水段，消毒程序关键参数（如温度、时间等）是否能够</w:t>
      </w:r>
      <w:r>
        <w:rPr>
          <w:spacing w:val="133"/>
          <w:w w:val="95"/>
        </w:rPr>
        <w:t xml:space="preserve"> </w:t>
      </w:r>
      <w:r>
        <w:t>达到要求等。</w:t>
      </w:r>
    </w:p>
    <w:p w14:paraId="7D076097">
      <w:pPr>
        <w:pStyle w:val="2"/>
        <w:spacing w:before="47" w:line="30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检查是否对水质监测不合格时的联锁控制功能进行确认，</w:t>
      </w:r>
      <w:r>
        <w:rPr>
          <w:w w:val="99"/>
        </w:rPr>
        <w:t xml:space="preserve"> </w:t>
      </w:r>
      <w:r>
        <w:t>例如在线监测不合格时的联锁排放功能等。</w:t>
      </w:r>
    </w:p>
    <w:p w14:paraId="775399F7">
      <w:pPr>
        <w:pStyle w:val="2"/>
        <w:spacing w:before="54" w:line="304" w:lineRule="auto"/>
        <w:ind w:left="747" w:right="0"/>
        <w:jc w:val="left"/>
      </w:pPr>
      <w:bookmarkStart w:id="31" w:name="（4）性能确认（PQ）"/>
      <w:bookmarkEnd w:id="31"/>
      <w:r>
        <w:t>（4）性能确认（</w:t>
      </w:r>
      <w:r>
        <w:rPr>
          <w:rFonts w:ascii="Times New Roman" w:hAnsi="Times New Roman" w:eastAsia="Times New Roman" w:cs="Times New Roman"/>
        </w:rPr>
        <w:t>PQ</w:t>
      </w:r>
      <w:r>
        <w:t>）</w:t>
      </w:r>
      <w:r>
        <w:rPr>
          <w:w w:val="99"/>
        </w:rPr>
        <w:t xml:space="preserve"> </w:t>
      </w:r>
      <w:r>
        <w:rPr>
          <w:spacing w:val="-4"/>
          <w:w w:val="95"/>
        </w:rPr>
        <w:t>为确保系统可靠、稳健且性能良好，纯化水性能确认宜采用</w:t>
      </w:r>
    </w:p>
    <w:p w14:paraId="2F0261F6">
      <w:pPr>
        <w:pStyle w:val="2"/>
        <w:spacing w:before="54" w:line="321" w:lineRule="auto"/>
        <w:ind w:right="111"/>
        <w:jc w:val="both"/>
      </w:pPr>
      <w:r>
        <w:rPr>
          <w:spacing w:val="-4"/>
          <w:w w:val="95"/>
        </w:rPr>
        <w:t>三阶段方式。性能确认在第一阶段和第二阶段应当为连续的，如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有特殊原因在第三阶段无法连续的，应当评估影响因素与水质趋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势变化，适当调整或延长确认周期，确保三个阶段涵盖不同季节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的运转。确认计划应当包含对原水（饮用水）和预处理系统关键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质量属性（如污染指数、余氯等）的检测，并定期进行日常监测</w:t>
      </w:r>
      <w:r>
        <w:rPr>
          <w:spacing w:val="135"/>
          <w:w w:val="95"/>
        </w:rPr>
        <w:t xml:space="preserve"> </w:t>
      </w:r>
      <w:r>
        <w:rPr>
          <w:spacing w:val="-4"/>
          <w:w w:val="95"/>
        </w:rPr>
        <w:t>以符合质量标准。监测项目、取样点和取样频次应当基于书面风</w:t>
      </w:r>
      <w:r>
        <w:rPr>
          <w:spacing w:val="134"/>
          <w:w w:val="95"/>
        </w:rPr>
        <w:t xml:space="preserve"> </w:t>
      </w:r>
      <w:r>
        <w:t>险评估来确定。</w:t>
      </w:r>
    </w:p>
    <w:p w14:paraId="38048733">
      <w:pPr>
        <w:pStyle w:val="2"/>
        <w:spacing w:line="309" w:lineRule="auto"/>
        <w:ind w:right="111" w:firstLine="640"/>
        <w:jc w:val="both"/>
      </w:pPr>
      <w:r>
        <w:t>第一阶段应当持续至少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-8"/>
        </w:rPr>
        <w:t>周，应当严格监测系统性能，所有</w:t>
      </w:r>
      <w:r>
        <w:rPr>
          <w:w w:val="99"/>
        </w:rPr>
        <w:t xml:space="preserve"> </w:t>
      </w:r>
      <w:r>
        <w:rPr>
          <w:spacing w:val="-4"/>
          <w:w w:val="95"/>
        </w:rPr>
        <w:t>出水口、回水口及使用点每天进行全项指标检测。开展第一阶段</w:t>
      </w:r>
      <w:r>
        <w:rPr>
          <w:spacing w:val="136"/>
          <w:w w:val="95"/>
        </w:rPr>
        <w:t xml:space="preserve"> </w:t>
      </w:r>
      <w:r>
        <w:t>前应当起草相关</w:t>
      </w:r>
      <w:r>
        <w:rPr>
          <w:spacing w:val="-96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SOP</w:t>
      </w:r>
      <w:r>
        <w:rPr>
          <w:spacing w:val="-6"/>
        </w:rPr>
        <w:t>，系统应当连续运行，如发生失败或性能偏</w:t>
      </w:r>
      <w:r>
        <w:rPr>
          <w:w w:val="99"/>
        </w:rPr>
        <w:t xml:space="preserve"> </w:t>
      </w:r>
      <w:r>
        <w:rPr>
          <w:spacing w:val="4"/>
        </w:rPr>
        <w:t>差，应当遵循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SOP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rPr>
          <w:spacing w:val="4"/>
        </w:rPr>
        <w:t>进行严格的调查、分析、评价，所有确认结</w:t>
      </w:r>
      <w:r>
        <w:rPr>
          <w:w w:val="99"/>
        </w:rPr>
        <w:t xml:space="preserve"> </w:t>
      </w:r>
      <w:r>
        <w:rPr>
          <w:spacing w:val="-4"/>
          <w:w w:val="95"/>
        </w:rPr>
        <w:t>论应当有科学的、充分的数据支持。完成第一阶段后，应当完善</w:t>
      </w:r>
      <w:r>
        <w:rPr>
          <w:spacing w:val="132"/>
          <w:w w:val="95"/>
        </w:rPr>
        <w:t xml:space="preserve"> </w:t>
      </w:r>
      <w:r>
        <w:t>所有的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SOP</w:t>
      </w:r>
      <w:r>
        <w:t>。</w:t>
      </w:r>
    </w:p>
    <w:p w14:paraId="4158AF63">
      <w:pPr>
        <w:spacing w:after="0" w:line="309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6441A80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E66CF72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F31B24D">
      <w:pPr>
        <w:pStyle w:val="2"/>
        <w:spacing w:before="0" w:line="314" w:lineRule="auto"/>
        <w:ind w:right="111" w:firstLine="640"/>
        <w:jc w:val="both"/>
      </w:pPr>
      <w:r>
        <w:t>第二阶段应当持续至少</w:t>
      </w:r>
      <w:r>
        <w:rPr>
          <w:spacing w:val="-83"/>
        </w:rPr>
        <w:t xml:space="preserve"> 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-8"/>
        </w:rPr>
        <w:t>周的进一步监测，所有出水口、回</w:t>
      </w:r>
      <w:r>
        <w:rPr>
          <w:w w:val="99"/>
        </w:rPr>
        <w:t xml:space="preserve"> </w:t>
      </w:r>
      <w:r>
        <w:rPr>
          <w:spacing w:val="-4"/>
          <w:w w:val="95"/>
        </w:rPr>
        <w:t>水口及使用点每天进行全项指标检测。取样程序一般应当与第一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阶段一致。第二阶段完成前生产的水可用于生产，前提是调试和</w:t>
      </w:r>
      <w:r>
        <w:rPr>
          <w:spacing w:val="136"/>
          <w:w w:val="95"/>
        </w:rPr>
        <w:t xml:space="preserve"> </w:t>
      </w:r>
      <w:r>
        <w:t>第一阶段数据证明水质满足要求，且获得质量部门批准。</w:t>
      </w:r>
    </w:p>
    <w:p w14:paraId="33BDC8F9">
      <w:pPr>
        <w:pStyle w:val="2"/>
        <w:spacing w:before="41" w:line="316" w:lineRule="auto"/>
        <w:ind w:right="111" w:firstLine="640"/>
        <w:jc w:val="both"/>
      </w:pPr>
      <w:r>
        <w:rPr>
          <w:spacing w:val="-4"/>
          <w:w w:val="95"/>
        </w:rPr>
        <w:t>第三阶段应当在第二阶段完成后，确保第一阶段、第二阶段</w:t>
      </w:r>
      <w:r>
        <w:rPr>
          <w:w w:val="99"/>
        </w:rPr>
        <w:t xml:space="preserve"> </w:t>
      </w:r>
      <w:r>
        <w:t>和第三阶段时长至少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rPr>
          <w:spacing w:val="2"/>
        </w:rPr>
        <w:t>个月，涵盖不同季节的运转。取样和检</w:t>
      </w:r>
      <w:r>
        <w:rPr>
          <w:w w:val="99"/>
        </w:rPr>
        <w:t xml:space="preserve"> </w:t>
      </w:r>
      <w:r>
        <w:rPr>
          <w:spacing w:val="-4"/>
          <w:w w:val="95"/>
        </w:rPr>
        <w:t>测频率可降至前两个阶段确定的日常水平。完成第三阶段后，应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当进行系统回顾审核，包括趋势分析和性能评估。若发现不良趋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势，需采取措施。第三阶段生产的水可用于生产。此阶段数据应</w:t>
      </w:r>
      <w:r>
        <w:rPr>
          <w:spacing w:val="136"/>
          <w:w w:val="95"/>
        </w:rPr>
        <w:t xml:space="preserve"> </w:t>
      </w:r>
      <w:r>
        <w:t>当证明系统长时间运行的稳定性和可靠性。</w:t>
      </w:r>
    </w:p>
    <w:p w14:paraId="42CD8074">
      <w:pPr>
        <w:pStyle w:val="2"/>
        <w:spacing w:before="38" w:line="240" w:lineRule="auto"/>
        <w:ind w:left="747" w:right="0"/>
        <w:jc w:val="left"/>
      </w:pPr>
      <w:r>
        <w:t>性能确认应当重点关注以下方面：</w:t>
      </w:r>
    </w:p>
    <w:p w14:paraId="51D36BB3">
      <w:pPr>
        <w:pStyle w:val="2"/>
        <w:spacing w:before="140" w:line="31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检查是否基于第一阶段和第二阶段汇总各个取样点的监测</w:t>
      </w:r>
      <w:r>
        <w:rPr>
          <w:w w:val="99"/>
        </w:rPr>
        <w:t xml:space="preserve"> </w:t>
      </w:r>
      <w:r>
        <w:rPr>
          <w:spacing w:val="-4"/>
          <w:w w:val="95"/>
        </w:rPr>
        <w:t>数据，并不定期地核对在线监测数据与离线监测数据的趋势的一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致性，对监测数据进行统计分析，确定水质监测的纠偏限和警戒</w:t>
      </w:r>
      <w:r>
        <w:rPr>
          <w:spacing w:val="133"/>
          <w:w w:val="95"/>
        </w:rPr>
        <w:t xml:space="preserve"> </w:t>
      </w:r>
      <w:r>
        <w:t>限。</w:t>
      </w:r>
    </w:p>
    <w:p w14:paraId="45D802FA">
      <w:pPr>
        <w:pStyle w:val="2"/>
        <w:spacing w:before="43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检查过程应当关注确认时取样计划是否合理，如在取样计</w:t>
      </w:r>
      <w:r>
        <w:rPr>
          <w:w w:val="99"/>
        </w:rPr>
        <w:t xml:space="preserve"> </w:t>
      </w:r>
      <w:r>
        <w:t>划中给出取样点选择的依据并规定各个取样点的取样频率。</w:t>
      </w:r>
    </w:p>
    <w:p w14:paraId="7E3B3B33">
      <w:pPr>
        <w:pStyle w:val="2"/>
        <w:spacing w:before="54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关注取样方式是否合理，检查监测结果是否符合要求。</w:t>
      </w:r>
    </w:p>
    <w:p w14:paraId="0E17ADDC">
      <w:pPr>
        <w:pStyle w:val="2"/>
        <w:spacing w:before="120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检查是否基于季节变化与时间因素对原水水质稳定性的影</w:t>
      </w:r>
      <w:r>
        <w:rPr>
          <w:w w:val="99"/>
        </w:rPr>
        <w:t xml:space="preserve"> </w:t>
      </w:r>
      <w:r>
        <w:t>响制定控制措施。</w:t>
      </w:r>
    </w:p>
    <w:p w14:paraId="09B836F0">
      <w:pPr>
        <w:pStyle w:val="2"/>
        <w:spacing w:before="54" w:line="240" w:lineRule="auto"/>
        <w:ind w:left="747" w:right="0"/>
        <w:jc w:val="left"/>
      </w:pPr>
      <w:bookmarkStart w:id="32" w:name="（5）生命周期内确认状态的维持/再确认"/>
      <w:bookmarkEnd w:id="32"/>
      <w:r>
        <w:t>（5）生命周期内确认状态的维持/再确认</w:t>
      </w:r>
    </w:p>
    <w:p w14:paraId="19BCB334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1EF924FA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D8A5966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7500CAD5">
      <w:pPr>
        <w:pStyle w:val="2"/>
        <w:spacing w:before="0" w:line="321" w:lineRule="auto"/>
        <w:ind w:right="211" w:firstLine="640"/>
        <w:jc w:val="both"/>
      </w:pPr>
      <w:r>
        <w:rPr>
          <w:spacing w:val="-4"/>
          <w:w w:val="95"/>
        </w:rPr>
        <w:t>对水系统进行定期维护后，企业可采用年度回顾分析等方式</w:t>
      </w:r>
      <w:r>
        <w:rPr>
          <w:w w:val="99"/>
        </w:rPr>
        <w:t xml:space="preserve"> </w:t>
      </w:r>
      <w:r>
        <w:rPr>
          <w:spacing w:val="-4"/>
          <w:w w:val="95"/>
        </w:rPr>
        <w:t>确保水系统维持确认状态。检查企业是否针对以下情况进行风险</w:t>
      </w:r>
      <w:r>
        <w:rPr>
          <w:spacing w:val="134"/>
          <w:w w:val="95"/>
        </w:rPr>
        <w:t xml:space="preserve"> </w:t>
      </w:r>
      <w:r>
        <w:t>评估以确定是否开展再确认以及再确认的程度：</w:t>
      </w:r>
    </w:p>
    <w:p w14:paraId="651447EF">
      <w:pPr>
        <w:pStyle w:val="2"/>
        <w:spacing w:before="34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纯化水系统初始设计发生了重大设计变更。</w:t>
      </w:r>
    </w:p>
    <w:p w14:paraId="3851F9E1">
      <w:pPr>
        <w:pStyle w:val="2"/>
        <w:spacing w:before="118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系统计划性停机后重启。</w:t>
      </w:r>
    </w:p>
    <w:p w14:paraId="33FE48EE">
      <w:pPr>
        <w:pStyle w:val="2"/>
        <w:spacing w:before="118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系统性能不稳定并出现重大偏差。</w:t>
      </w:r>
    </w:p>
    <w:p w14:paraId="5242FC30">
      <w:pPr>
        <w:pStyle w:val="2"/>
        <w:spacing w:before="120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系统重新制定了污染控制策略。</w:t>
      </w:r>
    </w:p>
    <w:p w14:paraId="454AE4AE">
      <w:pPr>
        <w:pStyle w:val="2"/>
        <w:spacing w:before="118" w:line="240" w:lineRule="auto"/>
        <w:ind w:left="747" w:right="0"/>
        <w:jc w:val="left"/>
      </w:pPr>
      <w:bookmarkStart w:id="33" w:name="（6）如涉及委托制水系统厂家技术团队或第三方公司进行（或协助）确认的，应当检查双"/>
      <w:bookmarkEnd w:id="33"/>
      <w:r>
        <w:rPr>
          <w:spacing w:val="2"/>
        </w:rPr>
        <w:t>（6）如涉及委托制水系统厂家技术团队或第三方公司进行</w:t>
      </w:r>
    </w:p>
    <w:p w14:paraId="2200DF9C">
      <w:pPr>
        <w:pStyle w:val="2"/>
        <w:spacing w:before="140" w:line="321" w:lineRule="auto"/>
        <w:ind w:right="0"/>
        <w:jc w:val="left"/>
      </w:pPr>
      <w:r>
        <w:t>（或协助）确认的，应当检查双方签订的协议，是否规定技术、</w:t>
      </w:r>
      <w:r>
        <w:rPr>
          <w:w w:val="99"/>
        </w:rPr>
        <w:t xml:space="preserve"> </w:t>
      </w:r>
      <w:r>
        <w:rPr>
          <w:spacing w:val="-4"/>
        </w:rPr>
        <w:t>质量要求等内容，明确双方所承担的质量责任，检查时应当查阅</w:t>
      </w:r>
      <w:r>
        <w:rPr>
          <w:w w:val="99"/>
        </w:rPr>
        <w:t xml:space="preserve"> </w:t>
      </w:r>
      <w:r>
        <w:rPr>
          <w:spacing w:val="-4"/>
        </w:rPr>
        <w:t>相关协议、记录和培训等情况，确认方案及报告应当由药品生产</w:t>
      </w:r>
      <w:r>
        <w:rPr>
          <w:w w:val="99"/>
        </w:rPr>
        <w:t xml:space="preserve"> </w:t>
      </w:r>
      <w:r>
        <w:rPr>
          <w:spacing w:val="-4"/>
        </w:rPr>
        <w:t>企业审核批准。本部分内容同样适用于注射用水系统及纯蒸汽系</w:t>
      </w:r>
      <w:r>
        <w:rPr>
          <w:w w:val="99"/>
        </w:rPr>
        <w:t xml:space="preserve"> </w:t>
      </w:r>
      <w:r>
        <w:t>统，相应章节不再赘述。</w:t>
      </w:r>
    </w:p>
    <w:p w14:paraId="66DDB1B4">
      <w:pPr>
        <w:pStyle w:val="2"/>
        <w:spacing w:line="240" w:lineRule="auto"/>
        <w:ind w:left="747" w:right="0"/>
        <w:jc w:val="left"/>
      </w:pPr>
      <w:bookmarkStart w:id="34" w:name="2.纯化水系统日常运行与维护保养方面"/>
      <w:bookmarkEnd w:id="34"/>
      <w:bookmarkStart w:id="35" w:name="_bookmark14"/>
      <w:bookmarkEnd w:id="35"/>
      <w:r>
        <w:t>2.纯化水系统日常运行与维护保养方面</w:t>
      </w:r>
    </w:p>
    <w:p w14:paraId="23935A8C">
      <w:pPr>
        <w:pStyle w:val="2"/>
        <w:spacing w:before="140" w:line="321" w:lineRule="auto"/>
        <w:ind w:left="747" w:right="0"/>
        <w:jc w:val="left"/>
      </w:pPr>
      <w:bookmarkStart w:id="36" w:name="（1）水系统清洗、消毒"/>
      <w:bookmarkEnd w:id="36"/>
      <w:r>
        <w:t>（1）水系统清洗、消毒</w:t>
      </w:r>
      <w:r>
        <w:rPr>
          <w:w w:val="99"/>
        </w:rPr>
        <w:t xml:space="preserve"> </w:t>
      </w:r>
      <w:r>
        <w:rPr>
          <w:spacing w:val="-4"/>
          <w:w w:val="95"/>
        </w:rPr>
        <w:t>通常纯化水设备和管道消毒方法有化学消毒、巴氏消毒、紫</w:t>
      </w:r>
    </w:p>
    <w:p w14:paraId="0E63E742">
      <w:pPr>
        <w:pStyle w:val="2"/>
        <w:spacing w:line="321" w:lineRule="auto"/>
        <w:ind w:right="213"/>
        <w:jc w:val="both"/>
      </w:pPr>
      <w:r>
        <w:rPr>
          <w:spacing w:val="-4"/>
          <w:w w:val="95"/>
        </w:rPr>
        <w:t>外线消毒、臭氧消毒、蒸汽消毒、过热水消毒等，企业应当通过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风险评估确定适宜的清洗和消毒方法。现场检查过程中，应当对</w:t>
      </w:r>
      <w:r>
        <w:rPr>
          <w:spacing w:val="134"/>
          <w:w w:val="95"/>
        </w:rPr>
        <w:t xml:space="preserve"> </w:t>
      </w:r>
      <w:r>
        <w:t>以下内容重点关注：</w:t>
      </w:r>
    </w:p>
    <w:p w14:paraId="794959D6">
      <w:pPr>
        <w:pStyle w:val="2"/>
        <w:spacing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检查企业是否制定水系统清洁、消毒管理或操作规程，是</w:t>
      </w:r>
      <w:r>
        <w:rPr>
          <w:w w:val="99"/>
        </w:rPr>
        <w:t xml:space="preserve"> </w:t>
      </w:r>
      <w:r>
        <w:rPr>
          <w:spacing w:val="-4"/>
          <w:w w:val="95"/>
        </w:rPr>
        <w:t>否规定纯化水预处理、分配系统清洗消毒的方式与周期，检查是</w:t>
      </w:r>
    </w:p>
    <w:p w14:paraId="56F4A1A5">
      <w:pPr>
        <w:spacing w:after="0" w:line="304" w:lineRule="auto"/>
        <w:jc w:val="left"/>
        <w:sectPr>
          <w:pgSz w:w="11910" w:h="16840"/>
          <w:pgMar w:top="1580" w:right="1260" w:bottom="2480" w:left="1480" w:header="0" w:footer="2285" w:gutter="0"/>
          <w:cols w:space="720" w:num="1"/>
        </w:sectPr>
      </w:pPr>
    </w:p>
    <w:p w14:paraId="727D59ED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60A1DEA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07EFB185">
      <w:pPr>
        <w:pStyle w:val="2"/>
        <w:spacing w:before="0" w:line="321" w:lineRule="auto"/>
        <w:ind w:right="112"/>
        <w:jc w:val="left"/>
      </w:pPr>
      <w:r>
        <w:rPr>
          <w:spacing w:val="-4"/>
          <w:w w:val="95"/>
        </w:rPr>
        <w:t>否对每次清洗消毒以及清洗消毒的关键参数（如温度、时间、清</w:t>
      </w:r>
      <w:r>
        <w:rPr>
          <w:spacing w:val="133"/>
          <w:w w:val="95"/>
        </w:rPr>
        <w:t xml:space="preserve"> </w:t>
      </w:r>
      <w:r>
        <w:t>洗剂浓度等）进行记录，实际操作与规程规定是否一致。</w:t>
      </w:r>
    </w:p>
    <w:p w14:paraId="6DB7E80E">
      <w:pPr>
        <w:pStyle w:val="2"/>
        <w:spacing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检查规程规定内容与确认资料中内容是否相符，并能够证</w:t>
      </w:r>
      <w:r>
        <w:rPr>
          <w:w w:val="99"/>
        </w:rPr>
        <w:t xml:space="preserve"> </w:t>
      </w:r>
      <w:r>
        <w:t>明系统消毒有效性。</w:t>
      </w:r>
    </w:p>
    <w:p w14:paraId="025DA348">
      <w:pPr>
        <w:pStyle w:val="2"/>
        <w:spacing w:before="54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纯化水系统如采用化学清洗、消毒方法，检查是否对化学</w:t>
      </w:r>
      <w:r>
        <w:rPr>
          <w:w w:val="99"/>
        </w:rPr>
        <w:t xml:space="preserve"> </w:t>
      </w:r>
      <w:r>
        <w:t>消毒剂浓度、清洗及消毒后化学残留进行控制。</w:t>
      </w:r>
    </w:p>
    <w:p w14:paraId="18EA1D55">
      <w:pPr>
        <w:pStyle w:val="2"/>
        <w:spacing w:before="56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采用蒸汽消毒时是否设置有冷凝水排放及不凝气体的排放</w:t>
      </w:r>
      <w:r>
        <w:rPr>
          <w:w w:val="99"/>
        </w:rPr>
        <w:t xml:space="preserve"> </w:t>
      </w:r>
      <w:r>
        <w:t>设施。</w:t>
      </w:r>
    </w:p>
    <w:p w14:paraId="72E17D3C">
      <w:pPr>
        <w:pStyle w:val="2"/>
        <w:spacing w:before="54" w:line="240" w:lineRule="auto"/>
        <w:ind w:left="747" w:right="112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如使用紫外灯的水系统，检查是否对水系统使用的紫外灯</w:t>
      </w:r>
    </w:p>
    <w:p w14:paraId="19893FF2">
      <w:pPr>
        <w:pStyle w:val="2"/>
        <w:spacing w:before="120" w:line="321" w:lineRule="auto"/>
        <w:ind w:right="112"/>
        <w:jc w:val="left"/>
      </w:pPr>
      <w:r>
        <w:rPr>
          <w:spacing w:val="-9"/>
          <w:w w:val="95"/>
        </w:rPr>
        <w:t>（如有）进行独立监控，是否对紫外灯使用时间、强度进行规定、</w:t>
      </w:r>
      <w:r>
        <w:rPr>
          <w:spacing w:val="2"/>
          <w:w w:val="95"/>
        </w:rPr>
        <w:t xml:space="preserve"> </w:t>
      </w:r>
      <w:r>
        <w:t>监测与记录，并制定更换周期。</w:t>
      </w:r>
    </w:p>
    <w:p w14:paraId="3E447AB0">
      <w:pPr>
        <w:pStyle w:val="2"/>
        <w:spacing w:line="312" w:lineRule="auto"/>
        <w:ind w:right="43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检查水系统中使用的材料是否耐腐蚀，是否与清洗、消毒</w:t>
      </w:r>
      <w:r>
        <w:rPr>
          <w:w w:val="99"/>
        </w:rPr>
        <w:t xml:space="preserve"> </w:t>
      </w:r>
      <w:r>
        <w:rPr>
          <w:spacing w:val="-4"/>
          <w:w w:val="95"/>
        </w:rPr>
        <w:t>方法和化学品兼容，如垫圈和密封件材质及老化等问题，是否采</w:t>
      </w:r>
      <w:r>
        <w:rPr>
          <w:spacing w:val="136"/>
          <w:w w:val="95"/>
        </w:rPr>
        <w:t xml:space="preserve"> </w:t>
      </w:r>
      <w:r>
        <w:t>取必要的预防性维护措施。</w:t>
      </w:r>
    </w:p>
    <w:p w14:paraId="4521B441">
      <w:pPr>
        <w:pStyle w:val="2"/>
        <w:spacing w:before="44" w:line="319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检查是否建立预防生物膜形成的控制措施，是否制定生物</w:t>
      </w:r>
      <w:r>
        <w:rPr>
          <w:w w:val="99"/>
        </w:rPr>
        <w:t xml:space="preserve"> </w:t>
      </w:r>
      <w:r>
        <w:t>膜去除的方法，去除条件是否合理（如是否控制去除过程温度、</w:t>
      </w:r>
      <w:r>
        <w:rPr>
          <w:w w:val="99"/>
        </w:rPr>
        <w:t xml:space="preserve"> </w:t>
      </w:r>
      <w:r>
        <w:rPr>
          <w:spacing w:val="-4"/>
        </w:rPr>
        <w:t>清洗剂浓度、时间等）。同时应当关注系统在采用化学品进行消</w:t>
      </w:r>
      <w:r>
        <w:rPr>
          <w:w w:val="99"/>
        </w:rPr>
        <w:t xml:space="preserve"> </w:t>
      </w:r>
      <w:r>
        <w:t>毒/清洗后，恢复使用前是否对被处理的纯化水制备或者分配系</w:t>
      </w:r>
      <w:r>
        <w:rPr>
          <w:spacing w:val="-132"/>
        </w:rPr>
        <w:t xml:space="preserve"> </w:t>
      </w:r>
      <w:r>
        <w:rPr>
          <w:spacing w:val="-4"/>
        </w:rPr>
        <w:t>统进行取样确认，至少得到化学检测结果合格并批准后投入使用。</w:t>
      </w:r>
      <w:r>
        <w:rPr>
          <w:w w:val="99"/>
        </w:rPr>
        <w:t xml:space="preserve"> </w:t>
      </w:r>
      <w:r>
        <w:rPr>
          <w:spacing w:val="-4"/>
        </w:rPr>
        <w:t>使用该系统的水生产的批次在考虑放行前，取样的纯化水的微生</w:t>
      </w:r>
      <w:r>
        <w:rPr>
          <w:w w:val="99"/>
        </w:rPr>
        <w:t xml:space="preserve"> </w:t>
      </w:r>
      <w:r>
        <w:rPr>
          <w:spacing w:val="-4"/>
        </w:rPr>
        <w:t>物、内毒素（如涉及）与不可接受微生物（如涉及）结果应当得</w:t>
      </w:r>
    </w:p>
    <w:p w14:paraId="6A30E4F8">
      <w:pPr>
        <w:spacing w:after="0" w:line="319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4FEAF2F1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996C9DB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3CC15DE6">
      <w:pPr>
        <w:pStyle w:val="2"/>
        <w:spacing w:before="0" w:line="240" w:lineRule="auto"/>
        <w:ind w:right="0"/>
        <w:jc w:val="both"/>
      </w:pPr>
      <w:r>
        <w:t>到确认。</w:t>
      </w:r>
    </w:p>
    <w:p w14:paraId="10ED6D65">
      <w:pPr>
        <w:pStyle w:val="2"/>
        <w:spacing w:before="140" w:line="321" w:lineRule="auto"/>
        <w:ind w:left="747" w:right="0"/>
        <w:jc w:val="left"/>
      </w:pPr>
      <w:bookmarkStart w:id="37" w:name="（2）纯化水系统的运行与维护"/>
      <w:bookmarkEnd w:id="37"/>
      <w:r>
        <w:t>（2）纯化水系统的运行与维护</w:t>
      </w:r>
      <w:r>
        <w:rPr>
          <w:w w:val="99"/>
        </w:rPr>
        <w:t xml:space="preserve"> </w:t>
      </w:r>
      <w:r>
        <w:rPr>
          <w:spacing w:val="-4"/>
          <w:w w:val="95"/>
        </w:rPr>
        <w:t>应当对纯化水系统进行必要的预防性维护。典型的维护工作</w:t>
      </w:r>
    </w:p>
    <w:p w14:paraId="09E05A6D">
      <w:pPr>
        <w:pStyle w:val="2"/>
        <w:spacing w:before="34" w:line="321" w:lineRule="auto"/>
        <w:ind w:right="271"/>
        <w:jc w:val="both"/>
      </w:pPr>
      <w:r>
        <w:rPr>
          <w:spacing w:val="-4"/>
          <w:w w:val="95"/>
        </w:rPr>
        <w:t>有：储罐的定期清洗与消毒，易损部件的定期更换（如阀门、垫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圈、呼吸器等），除生物膜、再钝化等，多介质过滤器、活性炭</w:t>
      </w:r>
      <w:r>
        <w:rPr>
          <w:spacing w:val="137"/>
          <w:w w:val="95"/>
        </w:rPr>
        <w:t xml:space="preserve"> </w:t>
      </w:r>
      <w:r>
        <w:rPr>
          <w:spacing w:val="-4"/>
          <w:w w:val="95"/>
        </w:rPr>
        <w:t>过滤器、反渗透膜的彻底清洗及滤材更换，仪表检查、校验及更</w:t>
      </w:r>
      <w:r>
        <w:rPr>
          <w:spacing w:val="132"/>
          <w:w w:val="95"/>
        </w:rPr>
        <w:t xml:space="preserve"> </w:t>
      </w:r>
      <w:r>
        <w:t>换等。现场检查过程中，应当对以下内容重点关注：</w:t>
      </w:r>
    </w:p>
    <w:p w14:paraId="397D1E9C">
      <w:pPr>
        <w:pStyle w:val="2"/>
        <w:spacing w:line="316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检查是否建立水系统维护的操作规程，操作规程中维护计</w:t>
      </w:r>
      <w:r>
        <w:rPr>
          <w:w w:val="99"/>
        </w:rPr>
        <w:t xml:space="preserve"> </w:t>
      </w:r>
      <w:r>
        <w:rPr>
          <w:spacing w:val="-4"/>
        </w:rPr>
        <w:t>划是否合理、完整，是否涵盖系统各环节设备，包括多介质过滤</w:t>
      </w:r>
      <w:r>
        <w:rPr>
          <w:w w:val="99"/>
        </w:rPr>
        <w:t xml:space="preserve"> </w:t>
      </w:r>
      <w:r>
        <w:rPr>
          <w:spacing w:val="-4"/>
        </w:rPr>
        <w:t>器、活性炭过滤器等反洗周期/反洗条件（如过滤器前后压力），</w:t>
      </w:r>
      <w:r>
        <w:rPr>
          <w:w w:val="99"/>
        </w:rPr>
        <w:t xml:space="preserve"> </w:t>
      </w:r>
      <w:r>
        <w:rPr>
          <w:spacing w:val="-4"/>
        </w:rPr>
        <w:t>软化器再生的周期或再生的条件（如硬度范围），反渗透膜更换</w:t>
      </w:r>
      <w:r>
        <w:rPr>
          <w:w w:val="99"/>
        </w:rPr>
        <w:t xml:space="preserve"> </w:t>
      </w:r>
      <w:r>
        <w:t>或维护条件，呼吸过滤器滤芯更换及完整性测试周期等。</w:t>
      </w:r>
    </w:p>
    <w:p w14:paraId="3250E987">
      <w:pPr>
        <w:pStyle w:val="2"/>
        <w:spacing w:before="40" w:line="314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检查储罐上是否安装不脱落纤维的疏水性除菌过滤器，是</w:t>
      </w:r>
      <w:r>
        <w:rPr>
          <w:w w:val="99"/>
        </w:rPr>
        <w:t xml:space="preserve"> </w:t>
      </w:r>
      <w:r>
        <w:rPr>
          <w:spacing w:val="-4"/>
          <w:w w:val="95"/>
        </w:rPr>
        <w:t>否有完整性测试报告，是否保留定期更换记录。检查是否采取有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效措施保持过滤器干燥，防止过滤器阻塞和微生物滋生，维持过</w:t>
      </w:r>
      <w:r>
        <w:rPr>
          <w:spacing w:val="136"/>
          <w:w w:val="95"/>
        </w:rPr>
        <w:t xml:space="preserve"> </w:t>
      </w:r>
      <w:r>
        <w:t>滤器的过滤功能。</w:t>
      </w:r>
    </w:p>
    <w:p w14:paraId="77F7CE2B">
      <w:pPr>
        <w:pStyle w:val="2"/>
        <w:spacing w:before="41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检查常规的维护保养记录，系统出现异常时的维护保养记</w:t>
      </w:r>
      <w:r>
        <w:rPr>
          <w:w w:val="99"/>
        </w:rPr>
        <w:t xml:space="preserve"> </w:t>
      </w:r>
      <w:r>
        <w:t>录。检查维护保养周期是否与文件规定一致。</w:t>
      </w:r>
    </w:p>
    <w:p w14:paraId="263EA2CC">
      <w:pPr>
        <w:pStyle w:val="2"/>
        <w:spacing w:before="56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检查关键组件或耗材更换、维护后是否采取必要的措施与</w:t>
      </w:r>
      <w:r>
        <w:rPr>
          <w:w w:val="99"/>
        </w:rPr>
        <w:t xml:space="preserve"> </w:t>
      </w:r>
      <w:r>
        <w:t>监测以确保产出纯化水符合相关标准要求。</w:t>
      </w:r>
    </w:p>
    <w:p w14:paraId="512EB0E4">
      <w:pPr>
        <w:pStyle w:val="2"/>
        <w:spacing w:before="54" w:line="240" w:lineRule="auto"/>
        <w:ind w:left="747" w:right="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检查是否制定制备系统停机、启动时的相应操作规程，并</w:t>
      </w:r>
    </w:p>
    <w:p w14:paraId="3A7AA461">
      <w:pPr>
        <w:spacing w:after="0" w:line="240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5668A036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63668BC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30D710D5">
      <w:pPr>
        <w:pStyle w:val="2"/>
        <w:spacing w:before="0" w:line="240" w:lineRule="auto"/>
        <w:ind w:right="0"/>
        <w:jc w:val="left"/>
      </w:pPr>
      <w:r>
        <w:t>经确认。</w:t>
      </w:r>
    </w:p>
    <w:p w14:paraId="7F8EB020">
      <w:pPr>
        <w:pStyle w:val="2"/>
        <w:spacing w:before="140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检查制水设备状态标识、输送管道的内容物名称和流向标</w:t>
      </w:r>
      <w:r>
        <w:rPr>
          <w:w w:val="99"/>
        </w:rPr>
        <w:t xml:space="preserve"> </w:t>
      </w:r>
      <w:r>
        <w:t>识是否正确。</w:t>
      </w:r>
    </w:p>
    <w:p w14:paraId="68389672">
      <w:pPr>
        <w:pStyle w:val="2"/>
        <w:spacing w:before="56" w:line="304" w:lineRule="auto"/>
        <w:ind w:right="114" w:firstLine="640"/>
        <w:jc w:val="both"/>
      </w:pPr>
      <w:r>
        <w:rPr>
          <w:rFonts w:ascii="Wingdings" w:hAnsi="Wingdings" w:eastAsia="Wingdings" w:cs="Wingdings"/>
          <w:w w:val="95"/>
        </w:rPr>
        <w:t></w:t>
      </w:r>
      <w:r>
        <w:rPr>
          <w:w w:val="95"/>
        </w:rPr>
        <w:t>检查现场仪表及制水检验用设备的校验/检定情况，校验、</w:t>
      </w:r>
      <w:r>
        <w:rPr>
          <w:w w:val="99"/>
        </w:rPr>
        <w:t xml:space="preserve"> </w:t>
      </w:r>
      <w:r>
        <w:t>检定标识是否清晰。</w:t>
      </w:r>
    </w:p>
    <w:p w14:paraId="6FECB55B">
      <w:pPr>
        <w:pStyle w:val="2"/>
        <w:spacing w:before="54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检查控制系统设备参数设置及运行情况，报警及处理措施</w:t>
      </w:r>
      <w:r>
        <w:rPr>
          <w:w w:val="99"/>
        </w:rPr>
        <w:t xml:space="preserve"> </w:t>
      </w:r>
      <w:r>
        <w:t>记录是否与相应</w:t>
      </w:r>
      <w:r>
        <w:rPr>
          <w:spacing w:val="-82"/>
        </w:rPr>
        <w:t xml:space="preserve"> </w:t>
      </w:r>
      <w:r>
        <w:rPr>
          <w:rFonts w:ascii="Times New Roman" w:hAnsi="Times New Roman" w:eastAsia="Times New Roman" w:cs="Times New Roman"/>
        </w:rPr>
        <w:t>SOP</w:t>
      </w:r>
      <w:r>
        <w:rPr>
          <w:rFonts w:ascii="Times New Roman" w:hAnsi="Times New Roman" w:eastAsia="Times New Roman" w:cs="Times New Roman"/>
          <w:spacing w:val="-2"/>
        </w:rPr>
        <w:t xml:space="preserve"> </w:t>
      </w:r>
      <w:r>
        <w:t>一致。</w:t>
      </w:r>
    </w:p>
    <w:p w14:paraId="79AF7FFD">
      <w:pPr>
        <w:pStyle w:val="2"/>
        <w:spacing w:before="20" w:line="312" w:lineRule="auto"/>
        <w:ind w:right="2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检查纯化水系统的产水情况及质量、检验条件和操作、现</w:t>
      </w:r>
      <w:r>
        <w:rPr>
          <w:w w:val="99"/>
        </w:rPr>
        <w:t xml:space="preserve"> </w:t>
      </w:r>
      <w:r>
        <w:rPr>
          <w:spacing w:val="-4"/>
          <w:w w:val="95"/>
        </w:rPr>
        <w:t>场记录、清洗记录、消毒记录等，是否与操作文件和企业内控要</w:t>
      </w:r>
      <w:r>
        <w:rPr>
          <w:spacing w:val="132"/>
          <w:w w:val="95"/>
        </w:rPr>
        <w:t xml:space="preserve"> </w:t>
      </w:r>
      <w:r>
        <w:t>求一致。</w:t>
      </w:r>
    </w:p>
    <w:p w14:paraId="453D5474">
      <w:pPr>
        <w:pStyle w:val="2"/>
        <w:spacing w:before="44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检查现场维护计划培训情况，操作人员熟悉程度。</w:t>
      </w:r>
    </w:p>
    <w:p w14:paraId="697D4154">
      <w:pPr>
        <w:pStyle w:val="2"/>
        <w:spacing w:before="118" w:line="321" w:lineRule="auto"/>
        <w:ind w:left="747" w:right="0"/>
        <w:jc w:val="left"/>
      </w:pPr>
      <w:bookmarkStart w:id="38" w:name="（3）数据可靠性"/>
      <w:bookmarkEnd w:id="38"/>
      <w:r>
        <w:t>（3）数据可靠性</w:t>
      </w:r>
      <w:r>
        <w:rPr>
          <w:w w:val="99"/>
        </w:rPr>
        <w:t xml:space="preserve"> </w:t>
      </w:r>
      <w:r>
        <w:rPr>
          <w:spacing w:val="-4"/>
          <w:w w:val="95"/>
        </w:rPr>
        <w:t>系统产生数据应当满足归属至人、清晰可溯、同步记录、原</w:t>
      </w:r>
    </w:p>
    <w:p w14:paraId="08433FAE">
      <w:pPr>
        <w:pStyle w:val="2"/>
        <w:spacing w:line="240" w:lineRule="auto"/>
        <w:ind w:right="0"/>
        <w:jc w:val="left"/>
      </w:pPr>
      <w:r>
        <w:t>始一致、准确真实的要求，重点检查以下方面：</w:t>
      </w:r>
    </w:p>
    <w:p w14:paraId="09BF0170">
      <w:pPr>
        <w:pStyle w:val="2"/>
        <w:spacing w:before="140" w:line="312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检查相关控制设备是否纳入计算机化系统进行管理，数据</w:t>
      </w:r>
      <w:r>
        <w:rPr>
          <w:w w:val="99"/>
        </w:rPr>
        <w:t xml:space="preserve"> </w:t>
      </w:r>
      <w:r>
        <w:rPr>
          <w:spacing w:val="-4"/>
          <w:w w:val="95"/>
        </w:rPr>
        <w:t>管理是否满足计算机化系统管理要求。检查计算机化系统的验证</w:t>
      </w:r>
      <w:r>
        <w:rPr>
          <w:spacing w:val="134"/>
          <w:w w:val="95"/>
        </w:rPr>
        <w:t xml:space="preserve"> </w:t>
      </w:r>
      <w:r>
        <w:t>情况和电子设备校验的执行情况。</w:t>
      </w:r>
    </w:p>
    <w:p w14:paraId="64D42819">
      <w:pPr>
        <w:pStyle w:val="2"/>
        <w:spacing w:before="44" w:line="314" w:lineRule="auto"/>
        <w:ind w:right="2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检查系统、辅助记录的可靠性、准确性、可追溯性以及纸</w:t>
      </w:r>
      <w:r>
        <w:rPr>
          <w:w w:val="99"/>
        </w:rPr>
        <w:t xml:space="preserve"> </w:t>
      </w:r>
      <w:r>
        <w:rPr>
          <w:spacing w:val="-4"/>
          <w:w w:val="95"/>
        </w:rPr>
        <w:t>质记录与电子记录数据的一致性与数据可靠性的相关操作，如关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键数据的复核、数据备份管理、电子设备和计算机化系统的用户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权限管理、打印条的管理、电子系统的时间和时区修改权限控制</w:t>
      </w:r>
    </w:p>
    <w:p w14:paraId="7C6F3213">
      <w:pPr>
        <w:spacing w:after="0" w:line="314" w:lineRule="auto"/>
        <w:jc w:val="both"/>
        <w:sectPr>
          <w:pgSz w:w="11910" w:h="16840"/>
          <w:pgMar w:top="1580" w:right="1260" w:bottom="2480" w:left="1480" w:header="0" w:footer="2285" w:gutter="0"/>
          <w:cols w:space="720" w:num="1"/>
        </w:sectPr>
      </w:pPr>
    </w:p>
    <w:p w14:paraId="738AE302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12559986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4457E8BF">
      <w:pPr>
        <w:pStyle w:val="2"/>
        <w:spacing w:before="0" w:line="240" w:lineRule="auto"/>
        <w:ind w:right="0"/>
        <w:jc w:val="left"/>
      </w:pPr>
      <w:r>
        <w:t>及用于记录的钟表管理等。</w:t>
      </w:r>
    </w:p>
    <w:p w14:paraId="3C00FAEE">
      <w:pPr>
        <w:pStyle w:val="2"/>
        <w:spacing w:before="140" w:line="30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由电子方式产生的原始数据应当显示数据的留存过程，包</w:t>
      </w:r>
      <w:r>
        <w:rPr>
          <w:w w:val="99"/>
        </w:rPr>
        <w:t xml:space="preserve"> </w:t>
      </w:r>
      <w:r>
        <w:t>括所有原始电子数据的信息、相关的审计追踪等。</w:t>
      </w:r>
    </w:p>
    <w:p w14:paraId="5D12D9DE">
      <w:pPr>
        <w:pStyle w:val="2"/>
        <w:spacing w:before="56" w:line="240" w:lineRule="auto"/>
        <w:ind w:left="747" w:right="0"/>
        <w:jc w:val="left"/>
      </w:pPr>
      <w:bookmarkStart w:id="39" w:name="（4）变更、偏差、OOS及纠正和预防措施"/>
      <w:bookmarkEnd w:id="39"/>
      <w:r>
        <w:t>（4）变更、偏差、</w:t>
      </w:r>
      <w:r>
        <w:rPr>
          <w:rFonts w:ascii="Times New Roman" w:hAnsi="Times New Roman" w:eastAsia="Times New Roman" w:cs="Times New Roman"/>
        </w:rPr>
        <w:t>OOS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t>及纠正和预防措施</w:t>
      </w:r>
    </w:p>
    <w:p w14:paraId="166C3F06">
      <w:pPr>
        <w:pStyle w:val="2"/>
        <w:spacing w:before="116" w:line="302" w:lineRule="auto"/>
        <w:ind w:right="111" w:firstLine="640"/>
        <w:jc w:val="both"/>
      </w:pPr>
      <w:r>
        <w:t>应当按照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</w:rPr>
        <w:t>GMP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t>及相关检查指南要求开展变更管理，进行偏</w:t>
      </w:r>
      <w:r>
        <w:rPr>
          <w:w w:val="99"/>
        </w:rPr>
        <w:t xml:space="preserve"> </w:t>
      </w:r>
      <w:r>
        <w:t>差、</w:t>
      </w:r>
      <w:r>
        <w:rPr>
          <w:rFonts w:ascii="Times New Roman" w:hAnsi="Times New Roman" w:eastAsia="Times New Roman" w:cs="Times New Roman"/>
        </w:rPr>
        <w:t>OOS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t>调查，并制定相应的纠正和预防措施。</w:t>
      </w:r>
    </w:p>
    <w:p w14:paraId="6927A91D">
      <w:pPr>
        <w:pStyle w:val="2"/>
        <w:spacing w:before="26" w:line="316" w:lineRule="auto"/>
        <w:ind w:right="111" w:firstLine="640"/>
        <w:jc w:val="both"/>
      </w:pPr>
      <w:r>
        <w:rPr>
          <w:spacing w:val="-4"/>
          <w:w w:val="95"/>
        </w:rPr>
        <w:t>检查企业是否能够准确识别纯化水系统相关的变更，是否对</w:t>
      </w:r>
      <w:r>
        <w:rPr>
          <w:w w:val="99"/>
        </w:rPr>
        <w:t xml:space="preserve"> </w:t>
      </w:r>
      <w:r>
        <w:rPr>
          <w:spacing w:val="-4"/>
          <w:w w:val="95"/>
        </w:rPr>
        <w:t>可能定义为变更的内容进行风险评估，根据其对水质量的影响决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定是否按照变更程序管理。检查对初始的设计改变是否按照变更</w:t>
      </w:r>
      <w:r>
        <w:rPr>
          <w:spacing w:val="134"/>
          <w:w w:val="95"/>
        </w:rPr>
        <w:t xml:space="preserve"> </w:t>
      </w:r>
      <w:r>
        <w:rPr>
          <w:spacing w:val="6"/>
        </w:rPr>
        <w:t>控制程序管理，如增加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</w:rPr>
        <w:t>EDI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spacing w:val="6"/>
        </w:rPr>
        <w:t>装置、增加取样点等，是否根据变</w:t>
      </w:r>
      <w:r>
        <w:rPr>
          <w:w w:val="99"/>
        </w:rPr>
        <w:t xml:space="preserve"> </w:t>
      </w:r>
      <w:r>
        <w:t>更程度对制水系统开展必要的再确认。</w:t>
      </w:r>
    </w:p>
    <w:p w14:paraId="557CBCA3">
      <w:pPr>
        <w:pStyle w:val="2"/>
        <w:spacing w:before="38" w:line="321" w:lineRule="auto"/>
        <w:ind w:right="111" w:firstLine="640"/>
        <w:jc w:val="both"/>
      </w:pPr>
      <w:r>
        <w:rPr>
          <w:spacing w:val="8"/>
          <w:w w:val="95"/>
        </w:rPr>
        <w:t>应当检查是否能够准确识别偏差/异常并及时开启偏差/异</w:t>
      </w:r>
      <w:r>
        <w:rPr>
          <w:w w:val="99"/>
        </w:rPr>
        <w:t xml:space="preserve"> </w:t>
      </w:r>
      <w:r>
        <w:rPr>
          <w:spacing w:val="-4"/>
          <w:w w:val="95"/>
        </w:rPr>
        <w:t>常调查，如个别点位指标超限、流速过低等，偏差调查原因是否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充分。是否对偏差、自检或外部检查结果、工艺性能和质量监测</w:t>
      </w:r>
      <w:r>
        <w:rPr>
          <w:spacing w:val="135"/>
          <w:w w:val="95"/>
        </w:rPr>
        <w:t xml:space="preserve"> </w:t>
      </w:r>
      <w:r>
        <w:t>不良趋势等采取纠正和预防措施，并对其有效性进行评估。</w:t>
      </w:r>
    </w:p>
    <w:p w14:paraId="38E0FCBA">
      <w:pPr>
        <w:pStyle w:val="2"/>
        <w:spacing w:before="34" w:line="321" w:lineRule="auto"/>
        <w:ind w:left="747" w:right="0"/>
        <w:jc w:val="left"/>
      </w:pPr>
      <w:bookmarkStart w:id="40" w:name="（5）纯化水系统的回顾分析"/>
      <w:bookmarkEnd w:id="40"/>
      <w:r>
        <w:t>（5）纯化水系统的回顾分析</w:t>
      </w:r>
      <w:r>
        <w:rPr>
          <w:w w:val="99"/>
        </w:rPr>
        <w:t xml:space="preserve"> </w:t>
      </w:r>
      <w:r>
        <w:rPr>
          <w:spacing w:val="8"/>
        </w:rPr>
        <w:t>应当至少每年进行一次纯化水质量回顾分析并形成书面报</w:t>
      </w:r>
    </w:p>
    <w:p w14:paraId="2C2C8627">
      <w:pPr>
        <w:pStyle w:val="2"/>
        <w:spacing w:line="321" w:lineRule="auto"/>
        <w:ind w:right="0"/>
        <w:jc w:val="left"/>
      </w:pPr>
      <w:r>
        <w:rPr>
          <w:spacing w:val="-4"/>
          <w:w w:val="95"/>
        </w:rPr>
        <w:t>告，回顾分析内容充分合理。现场检查过程中，应当对以下内容</w:t>
      </w:r>
      <w:r>
        <w:rPr>
          <w:spacing w:val="132"/>
          <w:w w:val="95"/>
        </w:rPr>
        <w:t xml:space="preserve"> </w:t>
      </w:r>
      <w:r>
        <w:t>重点关注：</w:t>
      </w:r>
    </w:p>
    <w:p w14:paraId="6F09ABD8">
      <w:pPr>
        <w:pStyle w:val="2"/>
        <w:spacing w:line="30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质量回顾分析至少包括以下内容：涉及的变更、系统确认</w:t>
      </w:r>
      <w:r>
        <w:rPr>
          <w:w w:val="99"/>
        </w:rPr>
        <w:t xml:space="preserve"> </w:t>
      </w:r>
      <w:r>
        <w:rPr>
          <w:spacing w:val="-4"/>
          <w:w w:val="95"/>
        </w:rPr>
        <w:t>状态、系统预防性维护和故障检修记录、系统关键偏差、系统日</w:t>
      </w:r>
    </w:p>
    <w:p w14:paraId="60096796">
      <w:pPr>
        <w:spacing w:after="0" w:line="304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0BED8E92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B70C81F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351842B9">
      <w:pPr>
        <w:pStyle w:val="2"/>
        <w:spacing w:before="0" w:line="240" w:lineRule="auto"/>
        <w:ind w:right="0"/>
        <w:jc w:val="left"/>
      </w:pPr>
      <w:r>
        <w:t>常监测数据结果、趋势等。</w:t>
      </w:r>
    </w:p>
    <w:p w14:paraId="6DC42880">
      <w:pPr>
        <w:pStyle w:val="2"/>
        <w:spacing w:before="140" w:line="304" w:lineRule="auto"/>
        <w:ind w:right="2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检查质量回顾分析报告中的数据是否与原始数据一致。是</w:t>
      </w:r>
      <w:r>
        <w:rPr>
          <w:w w:val="99"/>
        </w:rPr>
        <w:t xml:space="preserve"> </w:t>
      </w:r>
      <w:r>
        <w:t>否对异常趋势进行有效分析，并明确预防行动。</w:t>
      </w:r>
    </w:p>
    <w:p w14:paraId="5D0F5A49">
      <w:pPr>
        <w:pStyle w:val="2"/>
        <w:spacing w:before="56" w:line="304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检查水系统的确认、年度监测数据是否有异常，微生物污</w:t>
      </w:r>
      <w:r>
        <w:rPr>
          <w:w w:val="99"/>
        </w:rPr>
        <w:t xml:space="preserve"> </w:t>
      </w:r>
      <w:r>
        <w:t>染是否有异常，是否得到有效控制等。</w:t>
      </w:r>
    </w:p>
    <w:p w14:paraId="1CDE4490">
      <w:pPr>
        <w:pStyle w:val="2"/>
        <w:spacing w:before="54" w:line="312" w:lineRule="auto"/>
        <w:ind w:right="2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应当记录和审查警戒限的偏离情况，确定是否由于单一事</w:t>
      </w:r>
      <w:r>
        <w:rPr>
          <w:w w:val="99"/>
        </w:rPr>
        <w:t xml:space="preserve"> </w:t>
      </w:r>
      <w:r>
        <w:rPr>
          <w:spacing w:val="-4"/>
          <w:w w:val="95"/>
        </w:rPr>
        <w:t>件影响还是指示不良趋势或系统恶化。应当对每个纠偏限偏离情</w:t>
      </w:r>
      <w:r>
        <w:rPr>
          <w:spacing w:val="136"/>
          <w:w w:val="95"/>
        </w:rPr>
        <w:t xml:space="preserve"> </w:t>
      </w:r>
      <w:r>
        <w:t>况进行调查，并确定其根本原因及其影响程度。</w:t>
      </w:r>
    </w:p>
    <w:p w14:paraId="68B7666B">
      <w:pPr>
        <w:pStyle w:val="2"/>
        <w:spacing w:before="44" w:line="321" w:lineRule="auto"/>
        <w:ind w:left="747" w:right="0"/>
        <w:jc w:val="left"/>
      </w:pPr>
      <w:bookmarkStart w:id="41" w:name="3.水质监测方面"/>
      <w:bookmarkEnd w:id="41"/>
      <w:bookmarkStart w:id="42" w:name="_bookmark15"/>
      <w:bookmarkEnd w:id="42"/>
      <w:r>
        <w:t>3.水质监测方面</w:t>
      </w:r>
      <w:r>
        <w:rPr>
          <w:w w:val="99"/>
        </w:rPr>
        <w:t xml:space="preserve"> </w:t>
      </w:r>
      <w:r>
        <w:rPr>
          <w:spacing w:val="-4"/>
          <w:w w:val="95"/>
        </w:rPr>
        <w:t>完成系统第三阶段确认后，需综合评估系统性能，并依据结</w:t>
      </w:r>
    </w:p>
    <w:p w14:paraId="346820DC">
      <w:pPr>
        <w:pStyle w:val="2"/>
        <w:spacing w:line="240" w:lineRule="auto"/>
        <w:ind w:right="0"/>
        <w:jc w:val="left"/>
      </w:pPr>
      <w:r>
        <w:t>果制定日常监测计划。水质监测方面应当对以下内容重点关注：</w:t>
      </w:r>
    </w:p>
    <w:p w14:paraId="41879665">
      <w:pPr>
        <w:pStyle w:val="2"/>
        <w:spacing w:before="140" w:line="321" w:lineRule="auto"/>
        <w:ind w:right="213" w:firstLine="640"/>
        <w:jc w:val="both"/>
      </w:pPr>
      <w:bookmarkStart w:id="43" w:name="（1）检查是否制定各工序的合格标准和监测计划，并依照监测项目在相关岗位配备必要的"/>
      <w:bookmarkEnd w:id="43"/>
      <w:r>
        <w:rPr>
          <w:spacing w:val="2"/>
          <w:w w:val="95"/>
        </w:rPr>
        <w:t>（1）检查是否制定各工序的合格标准和监测计划，并依照</w:t>
      </w:r>
      <w:r>
        <w:rPr>
          <w:w w:val="99"/>
        </w:rPr>
        <w:t xml:space="preserve"> </w:t>
      </w:r>
      <w:r>
        <w:rPr>
          <w:spacing w:val="-4"/>
          <w:w w:val="95"/>
        </w:rPr>
        <w:t>监测项目在相关岗位配备必要的试剂、仪器、器具，并记录各取</w:t>
      </w:r>
      <w:r>
        <w:rPr>
          <w:spacing w:val="134"/>
          <w:w w:val="95"/>
        </w:rPr>
        <w:t xml:space="preserve"> </w:t>
      </w:r>
      <w:r>
        <w:t>样位置的监测结果。</w:t>
      </w:r>
    </w:p>
    <w:p w14:paraId="28F5326E">
      <w:pPr>
        <w:pStyle w:val="2"/>
        <w:spacing w:line="321" w:lineRule="auto"/>
        <w:ind w:right="211" w:firstLine="640"/>
        <w:jc w:val="both"/>
      </w:pPr>
      <w:bookmarkStart w:id="44" w:name="（2）取样计划应当结合确认数据和历史趋势，应当涵盖关键控制点、所有使用点，并规定"/>
      <w:bookmarkEnd w:id="44"/>
      <w:r>
        <w:rPr>
          <w:spacing w:val="2"/>
          <w:w w:val="95"/>
        </w:rPr>
        <w:t>（2）取样计划应当结合确认数据和历史趋势，应当涵盖关</w:t>
      </w:r>
      <w:r>
        <w:rPr>
          <w:w w:val="99"/>
        </w:rPr>
        <w:t xml:space="preserve"> </w:t>
      </w:r>
      <w:r>
        <w:rPr>
          <w:spacing w:val="-4"/>
          <w:w w:val="95"/>
        </w:rPr>
        <w:t>键控制点、所有使用点，并规定时间间隔，以确保定期获取有代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表性的水样用于分析。取样计划应当基于确认数据制定，考虑潜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在最差条件取样点，应当确保生产期间每天至少选取一个有代表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性使用点进行取样检测。检查取样方法、取样点（对比制水和分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配系统的示意图）、频次是否符合要求。取样人员应当经培训并</w:t>
      </w:r>
      <w:r>
        <w:rPr>
          <w:spacing w:val="132"/>
          <w:w w:val="95"/>
        </w:rPr>
        <w:t xml:space="preserve"> </w:t>
      </w:r>
      <w:r>
        <w:t>考核合格。</w:t>
      </w:r>
    </w:p>
    <w:p w14:paraId="72EAD07F">
      <w:pPr>
        <w:spacing w:after="0" w:line="321" w:lineRule="auto"/>
        <w:jc w:val="both"/>
        <w:sectPr>
          <w:pgSz w:w="11910" w:h="16840"/>
          <w:pgMar w:top="1580" w:right="1260" w:bottom="2480" w:left="1480" w:header="0" w:footer="2285" w:gutter="0"/>
          <w:cols w:space="720" w:num="1"/>
        </w:sectPr>
      </w:pPr>
    </w:p>
    <w:p w14:paraId="348CD79B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1FF88DE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32121CC5">
      <w:pPr>
        <w:pStyle w:val="2"/>
        <w:spacing w:before="0" w:line="321" w:lineRule="auto"/>
        <w:ind w:right="0" w:firstLine="640"/>
        <w:jc w:val="left"/>
      </w:pPr>
      <w:bookmarkStart w:id="45" w:name="（3）检查是否对系统的关键参数进行在线监测，应当检查在线监测仪器是否设置合理，是"/>
      <w:bookmarkEnd w:id="45"/>
      <w:r>
        <w:rPr>
          <w:spacing w:val="2"/>
        </w:rPr>
        <w:t>（3）检查是否对系统的关键参数进行在线监测，应当检查</w:t>
      </w:r>
      <w:r>
        <w:rPr>
          <w:w w:val="99"/>
        </w:rPr>
        <w:t xml:space="preserve"> </w:t>
      </w:r>
      <w:r>
        <w:t>在线监测仪器是否设置合理，是否经过校准并在校准有效期内，</w:t>
      </w:r>
      <w:r>
        <w:rPr>
          <w:w w:val="99"/>
        </w:rPr>
        <w:t xml:space="preserve"> </w:t>
      </w:r>
      <w:r>
        <w:rPr>
          <w:spacing w:val="-4"/>
        </w:rPr>
        <w:t>如有必要，应当定期进行离线检测以对结果进行确认。水的温度</w:t>
      </w:r>
      <w:r>
        <w:rPr>
          <w:w w:val="99"/>
        </w:rPr>
        <w:t xml:space="preserve"> </w:t>
      </w:r>
      <w:r>
        <w:rPr>
          <w:spacing w:val="-4"/>
        </w:rPr>
        <w:t>对电导率测定有较大影响，关注企业电导率测定过程采取的相应</w:t>
      </w:r>
      <w:r>
        <w:rPr>
          <w:w w:val="99"/>
        </w:rPr>
        <w:t xml:space="preserve"> </w:t>
      </w:r>
      <w:r>
        <w:t>措施是否合理。</w:t>
      </w:r>
    </w:p>
    <w:p w14:paraId="496B0548">
      <w:pPr>
        <w:pStyle w:val="2"/>
        <w:spacing w:line="321" w:lineRule="auto"/>
        <w:ind w:right="211" w:firstLine="640"/>
        <w:jc w:val="both"/>
      </w:pPr>
      <w:bookmarkStart w:id="46" w:name="（4）检查是否遵循《中华人民共和国药典》制定纯化水质量标准，是否制定关键参数的警"/>
      <w:bookmarkEnd w:id="46"/>
      <w:r>
        <w:rPr>
          <w:spacing w:val="2"/>
          <w:w w:val="95"/>
        </w:rPr>
        <w:t>（4）检查是否遵循《中华人民共和国药典》制定纯化水质</w:t>
      </w:r>
      <w:r>
        <w:rPr>
          <w:w w:val="99"/>
        </w:rPr>
        <w:t xml:space="preserve"> </w:t>
      </w:r>
      <w:r>
        <w:rPr>
          <w:spacing w:val="-4"/>
          <w:w w:val="95"/>
        </w:rPr>
        <w:t>量标准，是否制定关键参数的警戒限、纠偏限，警戒限、纠偏限</w:t>
      </w:r>
      <w:r>
        <w:rPr>
          <w:spacing w:val="136"/>
          <w:w w:val="95"/>
        </w:rPr>
        <w:t xml:space="preserve"> </w:t>
      </w:r>
      <w:r>
        <w:t>设定是否合理。</w:t>
      </w:r>
    </w:p>
    <w:p w14:paraId="7ED13C5D">
      <w:pPr>
        <w:pStyle w:val="2"/>
        <w:spacing w:line="321" w:lineRule="auto"/>
        <w:ind w:right="211" w:firstLine="640"/>
        <w:jc w:val="both"/>
      </w:pPr>
      <w:bookmarkStart w:id="47" w:name="（5）检查企业是否对偏离警戒限的异常情况进行记录和审核，包括调查确定偏离是否为单"/>
      <w:bookmarkEnd w:id="47"/>
      <w:r>
        <w:rPr>
          <w:spacing w:val="2"/>
          <w:w w:val="95"/>
        </w:rPr>
        <w:t>（5）检查企业是否对偏离警戒限的异常情况进行记录和审</w:t>
      </w:r>
      <w:r>
        <w:rPr>
          <w:w w:val="99"/>
        </w:rPr>
        <w:t xml:space="preserve"> </w:t>
      </w:r>
      <w:r>
        <w:rPr>
          <w:spacing w:val="-4"/>
          <w:w w:val="95"/>
        </w:rPr>
        <w:t>核，包括调查确定偏离是否为单个（独立）事件，或结果是否表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明不良趋势或系统恶化。是否对偏离纠偏限的每个异常情况进行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调查，以确定可能的根本原因以及对产品质量和生产工艺的任何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潜在影响。是否对因系统原因超出相关限度后所应采取的措施进</w:t>
      </w:r>
      <w:r>
        <w:rPr>
          <w:spacing w:val="134"/>
          <w:w w:val="95"/>
        </w:rPr>
        <w:t xml:space="preserve"> </w:t>
      </w:r>
      <w:r>
        <w:t>行规定，如采取清洗、消毒或灭菌措施等。</w:t>
      </w:r>
    </w:p>
    <w:p w14:paraId="3E8B0EBE">
      <w:pPr>
        <w:pStyle w:val="2"/>
        <w:spacing w:line="321" w:lineRule="auto"/>
        <w:ind w:right="0" w:firstLine="640"/>
        <w:jc w:val="left"/>
      </w:pPr>
      <w:bookmarkStart w:id="48" w:name="（6）检查企业是否基于风险制定微生物监测计划，持续监测纯化水系统中的微生物数量。"/>
      <w:bookmarkEnd w:id="48"/>
      <w:r>
        <w:rPr>
          <w:spacing w:val="2"/>
        </w:rPr>
        <w:t>（6）检查企业是否基于风险制定微生物监测计划，持续监</w:t>
      </w:r>
      <w:r>
        <w:rPr>
          <w:w w:val="99"/>
        </w:rPr>
        <w:t xml:space="preserve"> </w:t>
      </w:r>
      <w:r>
        <w:t>测纯化水系统中的微生物数量。当监测结果异常或超出限度时，</w:t>
      </w:r>
      <w:r>
        <w:rPr>
          <w:w w:val="99"/>
        </w:rPr>
        <w:t xml:space="preserve"> </w:t>
      </w:r>
      <w:r>
        <w:rPr>
          <w:spacing w:val="-4"/>
        </w:rPr>
        <w:t>应当进行偏差或异常评估。企业应当根据产品特点及水系统运行</w:t>
      </w:r>
      <w:r>
        <w:rPr>
          <w:w w:val="99"/>
        </w:rPr>
        <w:t xml:space="preserve"> </w:t>
      </w:r>
      <w:r>
        <w:rPr>
          <w:spacing w:val="-4"/>
        </w:rPr>
        <w:t>情况，额外关注不可接受微生物的检出与控制手段。当系统可能</w:t>
      </w:r>
      <w:r>
        <w:rPr>
          <w:w w:val="99"/>
        </w:rPr>
        <w:t xml:space="preserve"> </w:t>
      </w:r>
      <w:r>
        <w:rPr>
          <w:spacing w:val="-4"/>
        </w:rPr>
        <w:t>有生物膜产生时，需建立应急以及后续的处置措施，避免对药品</w:t>
      </w:r>
      <w:r>
        <w:rPr>
          <w:w w:val="99"/>
        </w:rPr>
        <w:t xml:space="preserve"> </w:t>
      </w:r>
      <w:r>
        <w:t>质量以及患者造成不利影响。</w:t>
      </w:r>
    </w:p>
    <w:p w14:paraId="2546E9D7">
      <w:pPr>
        <w:pStyle w:val="2"/>
        <w:spacing w:line="240" w:lineRule="auto"/>
        <w:ind w:left="747" w:right="0"/>
        <w:jc w:val="left"/>
      </w:pPr>
      <w:bookmarkStart w:id="49" w:name="（7）当非无菌原料药用于无菌制剂生产时，原料药生产工艺中最后分离和纯化步骤无法避"/>
      <w:bookmarkEnd w:id="49"/>
      <w:r>
        <w:rPr>
          <w:spacing w:val="2"/>
        </w:rPr>
        <w:t>（7）当非无菌原料药用于无菌制剂生产时，原料药生产工</w:t>
      </w:r>
    </w:p>
    <w:p w14:paraId="37B62A1C">
      <w:pPr>
        <w:spacing w:after="0" w:line="240" w:lineRule="auto"/>
        <w:jc w:val="left"/>
        <w:sectPr>
          <w:footerReference r:id="rId8" w:type="default"/>
          <w:pgSz w:w="11910" w:h="16840"/>
          <w:pgMar w:top="1580" w:right="1260" w:bottom="2480" w:left="1480" w:header="0" w:footer="2285" w:gutter="0"/>
          <w:pgNumType w:start="20"/>
          <w:cols w:space="720" w:num="1"/>
        </w:sectPr>
      </w:pPr>
    </w:p>
    <w:p w14:paraId="0DAB915A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40E47F6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7FEB7F07">
      <w:pPr>
        <w:pStyle w:val="2"/>
        <w:spacing w:before="0" w:line="321" w:lineRule="auto"/>
        <w:ind w:right="111"/>
        <w:jc w:val="both"/>
      </w:pPr>
      <w:r>
        <w:rPr>
          <w:spacing w:val="-4"/>
          <w:w w:val="95"/>
        </w:rPr>
        <w:t>艺中最后分离和纯化步骤无法避免使用纯化水时，是否监测微生</w:t>
      </w:r>
      <w:r>
        <w:rPr>
          <w:spacing w:val="136"/>
          <w:w w:val="95"/>
        </w:rPr>
        <w:t xml:space="preserve"> </w:t>
      </w:r>
      <w:r>
        <w:t>物、控制菌和内毒素，或采取适宜的合规措施进行控制。</w:t>
      </w:r>
    </w:p>
    <w:p w14:paraId="0CFD8879">
      <w:pPr>
        <w:pStyle w:val="2"/>
        <w:spacing w:line="321" w:lineRule="auto"/>
        <w:ind w:right="111" w:firstLine="640"/>
        <w:jc w:val="both"/>
      </w:pPr>
      <w:bookmarkStart w:id="50" w:name="（8）企业可结合自身制药用水系统特点（微生物数量、类群等）及实际需求，选择适合的"/>
      <w:bookmarkEnd w:id="50"/>
      <w:r>
        <w:rPr>
          <w:spacing w:val="2"/>
          <w:w w:val="95"/>
        </w:rPr>
        <w:t>（8）企业可结合自身制药用水系统特点（微生物数量、类</w:t>
      </w:r>
      <w:r>
        <w:rPr>
          <w:w w:val="99"/>
        </w:rPr>
        <w:t xml:space="preserve"> </w:t>
      </w:r>
      <w:r>
        <w:rPr>
          <w:spacing w:val="-4"/>
          <w:w w:val="95"/>
        </w:rPr>
        <w:t>群等）及实际需求，选择适合的快速微生物检测方法。当应用快</w:t>
      </w:r>
      <w:r>
        <w:rPr>
          <w:spacing w:val="132"/>
          <w:w w:val="95"/>
        </w:rPr>
        <w:t xml:space="preserve"> </w:t>
      </w:r>
      <w:r>
        <w:rPr>
          <w:spacing w:val="-4"/>
          <w:w w:val="95"/>
        </w:rPr>
        <w:t>速微生物检测方法时，其结果与传统方法相比某些参数如准确度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等可能存在差异，应当明确二者的相关性，关注对微生物监测数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据的趋势分析，确保快速微生物检测方法对微生物污染风险的监</w:t>
      </w:r>
      <w:r>
        <w:rPr>
          <w:spacing w:val="136"/>
          <w:w w:val="95"/>
        </w:rPr>
        <w:t xml:space="preserve"> </w:t>
      </w:r>
      <w:r>
        <w:t>测效果优于或者等同于传统方法。</w:t>
      </w:r>
    </w:p>
    <w:p w14:paraId="24A5D8D3">
      <w:pPr>
        <w:pStyle w:val="2"/>
        <w:spacing w:line="240" w:lineRule="auto"/>
        <w:ind w:left="747" w:right="0"/>
        <w:jc w:val="left"/>
        <w:rPr>
          <w:rFonts w:ascii="黑体" w:hAnsi="黑体" w:eastAsia="黑体" w:cs="黑体"/>
        </w:rPr>
      </w:pPr>
      <w:bookmarkStart w:id="51" w:name="七、注射用水检查要点"/>
      <w:bookmarkEnd w:id="51"/>
      <w:bookmarkStart w:id="52" w:name="_bookmark16"/>
      <w:bookmarkEnd w:id="52"/>
      <w:r>
        <w:rPr>
          <w:rFonts w:ascii="黑体" w:hAnsi="黑体" w:eastAsia="黑体" w:cs="黑体"/>
        </w:rPr>
        <w:t>七、注射用水检查要点</w:t>
      </w:r>
    </w:p>
    <w:p w14:paraId="5C273F20">
      <w:pPr>
        <w:pStyle w:val="2"/>
        <w:spacing w:before="143" w:line="321" w:lineRule="auto"/>
        <w:ind w:right="111" w:firstLine="640"/>
        <w:jc w:val="both"/>
      </w:pPr>
      <w:r>
        <w:rPr>
          <w:spacing w:val="-4"/>
          <w:w w:val="95"/>
        </w:rPr>
        <w:t>注射用水用于药物生产过程和药物制剂的制备，对无菌药品</w:t>
      </w:r>
      <w:r>
        <w:rPr>
          <w:w w:val="99"/>
        </w:rPr>
        <w:t xml:space="preserve"> </w:t>
      </w:r>
      <w:r>
        <w:rPr>
          <w:spacing w:val="-4"/>
          <w:w w:val="95"/>
        </w:rPr>
        <w:t>的质量有着重要影响，考虑法规及行业发展情况，本指南以蒸馏</w:t>
      </w:r>
      <w:r>
        <w:rPr>
          <w:spacing w:val="136"/>
          <w:w w:val="95"/>
        </w:rPr>
        <w:t xml:space="preserve"> </w:t>
      </w:r>
      <w:r>
        <w:t>法及非蒸馏法两种制备工艺来进行注射用水相关内容的阐述。</w:t>
      </w:r>
    </w:p>
    <w:p w14:paraId="629FA5F2">
      <w:pPr>
        <w:pStyle w:val="2"/>
        <w:spacing w:before="34" w:line="240" w:lineRule="auto"/>
        <w:ind w:left="747" w:right="0"/>
        <w:jc w:val="left"/>
        <w:rPr>
          <w:rFonts w:ascii="宋体" w:hAnsi="宋体" w:eastAsia="宋体" w:cs="宋体"/>
        </w:rPr>
      </w:pPr>
      <w:bookmarkStart w:id="53" w:name="_bookmark17"/>
      <w:bookmarkEnd w:id="53"/>
      <w:bookmarkStart w:id="54" w:name="（一）注射用水制备系统概述"/>
      <w:bookmarkEnd w:id="54"/>
      <w:r>
        <w:rPr>
          <w:rFonts w:ascii="宋体" w:hAnsi="宋体" w:eastAsia="宋体" w:cs="宋体"/>
        </w:rPr>
        <w:t>（一）注射用水制备系统概述</w:t>
      </w:r>
    </w:p>
    <w:p w14:paraId="5A0B473E">
      <w:pPr>
        <w:pStyle w:val="2"/>
        <w:spacing w:before="140" w:line="321" w:lineRule="auto"/>
        <w:ind w:left="747" w:right="0"/>
        <w:jc w:val="left"/>
      </w:pPr>
      <w:bookmarkStart w:id="55" w:name="_bookmark18"/>
      <w:bookmarkEnd w:id="55"/>
      <w:bookmarkStart w:id="56" w:name="1.蒸馏法"/>
      <w:bookmarkEnd w:id="56"/>
      <w:r>
        <w:t>1.蒸馏法</w:t>
      </w:r>
      <w:r>
        <w:rPr>
          <w:w w:val="99"/>
        </w:rPr>
        <w:t xml:space="preserve"> </w:t>
      </w:r>
      <w:r>
        <w:rPr>
          <w:spacing w:val="-4"/>
          <w:w w:val="95"/>
        </w:rPr>
        <w:t>蒸馏法是制备注射用水的传统方法，目前常用的设备包括多</w:t>
      </w:r>
    </w:p>
    <w:p w14:paraId="67633264">
      <w:pPr>
        <w:pStyle w:val="2"/>
        <w:spacing w:before="34" w:line="321" w:lineRule="auto"/>
        <w:ind w:left="747" w:right="0" w:hanging="641"/>
        <w:jc w:val="left"/>
      </w:pPr>
      <w:r>
        <w:t>效蒸馏水机、热压式蒸馏水机。</w:t>
      </w:r>
      <w:r>
        <w:rPr>
          <w:w w:val="99"/>
        </w:rPr>
        <w:t xml:space="preserve"> </w:t>
      </w:r>
      <w:r>
        <w:rPr>
          <w:spacing w:val="-4"/>
          <w:w w:val="95"/>
        </w:rPr>
        <w:t>多效蒸馏水机基于多级蒸发原理，根据设计的不同又可分为</w:t>
      </w:r>
    </w:p>
    <w:p w14:paraId="571E0F8C">
      <w:pPr>
        <w:pStyle w:val="2"/>
        <w:spacing w:line="321" w:lineRule="auto"/>
        <w:ind w:right="111"/>
        <w:jc w:val="both"/>
      </w:pPr>
      <w:r>
        <w:rPr>
          <w:spacing w:val="-4"/>
          <w:w w:val="95"/>
        </w:rPr>
        <w:t>沸腾式、降膜式、升膜式等。其主要制备流程是原水在冷凝器内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被含蒸汽及蒸馏水的汽－液混合体加热，进入各效预热器被二次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蒸汽及蒸馏水加热，前效产生的纯蒸汽进入后续各效作为加热源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产生更多纯蒸汽，纯蒸汽在二效开始冷凝成为注射用水，末效产</w:t>
      </w:r>
    </w:p>
    <w:p w14:paraId="33C3917A">
      <w:pPr>
        <w:spacing w:after="0" w:line="321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46BFE85A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F5D02CE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853EE4F">
      <w:pPr>
        <w:pStyle w:val="2"/>
        <w:spacing w:before="0" w:line="321" w:lineRule="auto"/>
        <w:ind w:right="112"/>
        <w:jc w:val="left"/>
      </w:pPr>
      <w:r>
        <w:rPr>
          <w:spacing w:val="-4"/>
          <w:w w:val="95"/>
        </w:rPr>
        <w:t>生的纯蒸汽进入冷凝器壳程与冷凝的注射用水混合，经冷却后成</w:t>
      </w:r>
      <w:r>
        <w:rPr>
          <w:spacing w:val="134"/>
          <w:w w:val="95"/>
        </w:rPr>
        <w:t xml:space="preserve"> </w:t>
      </w:r>
      <w:r>
        <w:t>为注射用水。</w:t>
      </w:r>
    </w:p>
    <w:p w14:paraId="72DE91F1">
      <w:pPr>
        <w:pStyle w:val="2"/>
        <w:spacing w:line="321" w:lineRule="auto"/>
        <w:ind w:right="112" w:firstLine="640"/>
        <w:jc w:val="left"/>
      </w:pPr>
      <w:r>
        <w:rPr>
          <w:spacing w:val="-4"/>
        </w:rPr>
        <w:t>热压式蒸馏水机分为立式和卧式两种工艺，利用电机作为动</w:t>
      </w:r>
      <w:r>
        <w:rPr>
          <w:w w:val="99"/>
        </w:rPr>
        <w:t xml:space="preserve"> </w:t>
      </w:r>
      <w:r>
        <w:rPr>
          <w:spacing w:val="-4"/>
        </w:rPr>
        <w:t>力对蒸汽进行二次压缩、提高温度和压力后蒸发原水而制备注射</w:t>
      </w:r>
      <w:r>
        <w:rPr>
          <w:w w:val="99"/>
        </w:rPr>
        <w:t xml:space="preserve"> </w:t>
      </w:r>
      <w:r>
        <w:t>用水，主要结构分为蒸发器、压缩机和预热单元三部分，其中，</w:t>
      </w:r>
      <w:r>
        <w:rPr>
          <w:w w:val="99"/>
        </w:rPr>
        <w:t xml:space="preserve"> </w:t>
      </w:r>
      <w:r>
        <w:rPr>
          <w:spacing w:val="-4"/>
        </w:rPr>
        <w:t>压缩机是核心零部件。其主要制备流程是进水在蒸发器的作用下</w:t>
      </w:r>
      <w:r>
        <w:rPr>
          <w:w w:val="99"/>
        </w:rPr>
        <w:t xml:space="preserve"> </w:t>
      </w:r>
      <w:r>
        <w:rPr>
          <w:spacing w:val="-4"/>
        </w:rPr>
        <w:t>被蒸发，产生的蒸汽再利用压缩机将一次蒸发后产生的二次蒸汽</w:t>
      </w:r>
      <w:r>
        <w:rPr>
          <w:w w:val="99"/>
        </w:rPr>
        <w:t xml:space="preserve"> </w:t>
      </w:r>
      <w:r>
        <w:rPr>
          <w:spacing w:val="-4"/>
        </w:rPr>
        <w:t>压缩，提高其热焓量及温度，然后将压缩后的二次蒸汽再送回蒸</w:t>
      </w:r>
      <w:r>
        <w:rPr>
          <w:w w:val="99"/>
        </w:rPr>
        <w:t xml:space="preserve"> </w:t>
      </w:r>
      <w:r>
        <w:t>发器的壳程或管程，作为主要的加热源来加热未被蒸发的原水，</w:t>
      </w:r>
      <w:r>
        <w:rPr>
          <w:w w:val="99"/>
        </w:rPr>
        <w:t xml:space="preserve"> </w:t>
      </w:r>
      <w:r>
        <w:t>经热能交换后，其本身冷凝下来成为注射用水。</w:t>
      </w:r>
    </w:p>
    <w:p w14:paraId="3E06DBFA">
      <w:pPr>
        <w:pStyle w:val="2"/>
        <w:spacing w:line="321" w:lineRule="auto"/>
        <w:ind w:left="747" w:right="112"/>
        <w:jc w:val="left"/>
      </w:pPr>
      <w:bookmarkStart w:id="57" w:name="2.非蒸馏法"/>
      <w:bookmarkEnd w:id="57"/>
      <w:bookmarkStart w:id="58" w:name="_bookmark19"/>
      <w:bookmarkEnd w:id="58"/>
      <w:r>
        <w:t>2.非蒸馏法</w:t>
      </w:r>
      <w:r>
        <w:rPr>
          <w:w w:val="99"/>
        </w:rPr>
        <w:t xml:space="preserve"> </w:t>
      </w:r>
      <w:r>
        <w:rPr>
          <w:spacing w:val="-4"/>
          <w:w w:val="95"/>
        </w:rPr>
        <w:t>除蒸馏法外，企业可采用等同于蒸馏的纯化工艺如膜分离法、</w:t>
      </w:r>
    </w:p>
    <w:p w14:paraId="6A3B4EA5">
      <w:pPr>
        <w:pStyle w:val="2"/>
        <w:spacing w:before="34" w:line="302" w:lineRule="auto"/>
        <w:ind w:right="112"/>
        <w:jc w:val="left"/>
      </w:pPr>
      <w:r>
        <w:rPr>
          <w:w w:val="95"/>
        </w:rPr>
        <w:t>电去离子法（</w:t>
      </w:r>
      <w:r>
        <w:rPr>
          <w:rFonts w:ascii="Times New Roman" w:hAnsi="Times New Roman" w:eastAsia="Times New Roman" w:cs="Times New Roman"/>
          <w:w w:val="95"/>
        </w:rPr>
        <w:t>EDI</w:t>
      </w:r>
      <w:r>
        <w:rPr>
          <w:w w:val="95"/>
        </w:rPr>
        <w:t>）及其相互的组合制备注射用水，也可采用经</w:t>
      </w:r>
      <w:r>
        <w:rPr>
          <w:spacing w:val="119"/>
          <w:w w:val="95"/>
        </w:rPr>
        <w:t xml:space="preserve"> </w:t>
      </w:r>
      <w:r>
        <w:t>确认的其他先进方法进行制备。</w:t>
      </w:r>
    </w:p>
    <w:p w14:paraId="33E42FCA">
      <w:pPr>
        <w:pStyle w:val="2"/>
        <w:spacing w:before="57" w:line="321" w:lineRule="auto"/>
        <w:ind w:right="112" w:firstLine="640"/>
        <w:jc w:val="left"/>
      </w:pPr>
      <w:r>
        <w:rPr>
          <w:spacing w:val="-4"/>
        </w:rPr>
        <w:t>膜分离技术是一种与膜孔径大小相关的筛分过程，从分离精</w:t>
      </w:r>
      <w:r>
        <w:rPr>
          <w:w w:val="99"/>
        </w:rPr>
        <w:t xml:space="preserve"> </w:t>
      </w:r>
      <w:r>
        <w:rPr>
          <w:spacing w:val="-4"/>
        </w:rPr>
        <w:t>度上可划分为微滤、超滤、纳滤和反渗透四大类，其过滤精度为</w:t>
      </w:r>
      <w:r>
        <w:rPr>
          <w:w w:val="99"/>
        </w:rPr>
        <w:t xml:space="preserve"> </w:t>
      </w:r>
      <w:r>
        <w:rPr>
          <w:spacing w:val="-4"/>
        </w:rPr>
        <w:t>反渗透＞纳滤＞超滤＞微滤。该制水技术是以膜两侧的压力差为</w:t>
      </w:r>
      <w:r>
        <w:rPr>
          <w:w w:val="99"/>
        </w:rPr>
        <w:t xml:space="preserve"> </w:t>
      </w:r>
      <w:r>
        <w:rPr>
          <w:spacing w:val="-9"/>
          <w:w w:val="95"/>
        </w:rPr>
        <w:t>驱动力，以膜为过滤介质，在一定的压力下，当水流过膜表面时，</w:t>
      </w:r>
      <w:r>
        <w:rPr>
          <w:spacing w:val="2"/>
          <w:w w:val="95"/>
        </w:rPr>
        <w:t xml:space="preserve"> </w:t>
      </w:r>
      <w:r>
        <w:rPr>
          <w:spacing w:val="-4"/>
        </w:rPr>
        <w:t>膜表面密布的微孔只允许水及小分子物质通过而成为透过液，而</w:t>
      </w:r>
      <w:r>
        <w:rPr>
          <w:w w:val="99"/>
        </w:rPr>
        <w:t xml:space="preserve"> </w:t>
      </w:r>
      <w:r>
        <w:rPr>
          <w:spacing w:val="-4"/>
        </w:rPr>
        <w:t>水中体积大于膜表面微孔径的物质则被截留在膜的进液侧，因而</w:t>
      </w:r>
      <w:r>
        <w:rPr>
          <w:w w:val="99"/>
        </w:rPr>
        <w:t xml:space="preserve"> </w:t>
      </w:r>
      <w:r>
        <w:t>实现对水的分离和浓缩的目的。</w:t>
      </w:r>
    </w:p>
    <w:p w14:paraId="075E318D">
      <w:pPr>
        <w:spacing w:after="0" w:line="321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486BD443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1AAB758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50AAEF8">
      <w:pPr>
        <w:pStyle w:val="2"/>
        <w:spacing w:before="0" w:line="316" w:lineRule="auto"/>
        <w:ind w:right="112" w:firstLine="640"/>
        <w:jc w:val="left"/>
      </w:pPr>
      <w:r>
        <w:t>电去离子法（</w:t>
      </w:r>
      <w:r>
        <w:rPr>
          <w:rFonts w:ascii="Times New Roman" w:hAnsi="Times New Roman" w:eastAsia="Times New Roman" w:cs="Times New Roman"/>
        </w:rPr>
        <w:t>EDI</w:t>
      </w:r>
      <w:r>
        <w:t>）是结合了电渗析与离子交换两项技术各</w:t>
      </w:r>
      <w:r>
        <w:rPr>
          <w:w w:val="99"/>
        </w:rPr>
        <w:t xml:space="preserve"> </w:t>
      </w:r>
      <w:r>
        <w:rPr>
          <w:spacing w:val="-4"/>
        </w:rPr>
        <w:t>自的特点而发展起来的一种技术。利用电的活性介质和电压来达</w:t>
      </w:r>
      <w:r>
        <w:rPr>
          <w:w w:val="99"/>
        </w:rPr>
        <w:t xml:space="preserve"> </w:t>
      </w:r>
      <w:r>
        <w:rPr>
          <w:spacing w:val="-3"/>
        </w:rPr>
        <w:t>到离子的运送，从水中去除电离的或可以离子化的物质。</w:t>
      </w:r>
      <w:r>
        <w:rPr>
          <w:rFonts w:ascii="Times New Roman" w:hAnsi="Times New Roman" w:eastAsia="Times New Roman" w:cs="Times New Roman"/>
          <w:spacing w:val="-3"/>
        </w:rPr>
        <w:t>EDI</w:t>
      </w:r>
      <w:r>
        <w:rPr>
          <w:rFonts w:ascii="Times New Roman" w:hAnsi="Times New Roman" w:eastAsia="Times New Roman" w:cs="Times New Roman"/>
          <w:spacing w:val="-1"/>
        </w:rPr>
        <w:t xml:space="preserve"> </w:t>
      </w:r>
      <w:r>
        <w:t>模</w:t>
      </w:r>
      <w:r>
        <w:rPr>
          <w:w w:val="99"/>
        </w:rPr>
        <w:t xml:space="preserve"> </w:t>
      </w:r>
      <w:r>
        <w:rPr>
          <w:spacing w:val="-4"/>
        </w:rPr>
        <w:t>块两端的电极提供了横向的直流电场，电流驱动水中的阳离子透</w:t>
      </w:r>
      <w:r>
        <w:rPr>
          <w:w w:val="99"/>
        </w:rPr>
        <w:t xml:space="preserve"> </w:t>
      </w:r>
      <w:r>
        <w:rPr>
          <w:spacing w:val="-4"/>
        </w:rPr>
        <w:t>过阳离子膜，阴离子透过阴离子膜，并防止阴阳离子由另一侧浓</w:t>
      </w:r>
      <w:r>
        <w:rPr>
          <w:w w:val="99"/>
        </w:rPr>
        <w:t xml:space="preserve"> </w:t>
      </w:r>
      <w:r>
        <w:rPr>
          <w:spacing w:val="-4"/>
        </w:rPr>
        <w:t>水室进入淡水室，进水中的阴阳离子在连续进入浓水室后被去除，</w:t>
      </w:r>
      <w:r>
        <w:rPr>
          <w:w w:val="99"/>
        </w:rPr>
        <w:t xml:space="preserve"> </w:t>
      </w:r>
      <w:r>
        <w:rPr>
          <w:spacing w:val="-4"/>
        </w:rPr>
        <w:t>高纯度的淡水连续从淡水室流出，其结果是降低了淡水室中水的</w:t>
      </w:r>
      <w:r>
        <w:rPr>
          <w:w w:val="99"/>
        </w:rPr>
        <w:t xml:space="preserve"> </w:t>
      </w:r>
      <w:r>
        <w:rPr>
          <w:spacing w:val="-4"/>
        </w:rPr>
        <w:t>离子浓度和增加了浓水室中水的离子浓度，从而使得淡水室中水</w:t>
      </w:r>
      <w:r>
        <w:rPr>
          <w:w w:val="99"/>
        </w:rPr>
        <w:t xml:space="preserve"> </w:t>
      </w:r>
      <w:r>
        <w:t>的纯度越来越高。</w:t>
      </w:r>
    </w:p>
    <w:p w14:paraId="60DCEF41">
      <w:pPr>
        <w:pStyle w:val="2"/>
        <w:spacing w:before="40" w:line="240" w:lineRule="auto"/>
        <w:ind w:left="747" w:right="112"/>
        <w:jc w:val="left"/>
        <w:rPr>
          <w:rFonts w:ascii="宋体" w:hAnsi="宋体" w:eastAsia="宋体" w:cs="宋体"/>
        </w:rPr>
      </w:pPr>
      <w:bookmarkStart w:id="59" w:name="（二）注射用水储存与分配系统概述"/>
      <w:bookmarkEnd w:id="59"/>
      <w:bookmarkStart w:id="60" w:name="_bookmark20"/>
      <w:bookmarkEnd w:id="60"/>
      <w:r>
        <w:rPr>
          <w:rFonts w:ascii="宋体" w:hAnsi="宋体" w:eastAsia="宋体" w:cs="宋体"/>
        </w:rPr>
        <w:t>（二）注射用水储存与分配系统概述</w:t>
      </w:r>
    </w:p>
    <w:p w14:paraId="39D61265">
      <w:pPr>
        <w:pStyle w:val="2"/>
        <w:spacing w:before="140" w:line="321" w:lineRule="auto"/>
        <w:ind w:right="433" w:firstLine="640"/>
        <w:jc w:val="both"/>
      </w:pPr>
      <w:r>
        <w:rPr>
          <w:spacing w:val="-4"/>
          <w:w w:val="95"/>
        </w:rPr>
        <w:t>注射用水的储存与分配系统又称输送系统，将注射用水进行</w:t>
      </w:r>
      <w:r>
        <w:rPr>
          <w:w w:val="99"/>
        </w:rPr>
        <w:t xml:space="preserve"> </w:t>
      </w:r>
      <w:r>
        <w:rPr>
          <w:spacing w:val="-4"/>
          <w:w w:val="95"/>
        </w:rPr>
        <w:t>循环分配，满足不同使用点的用水需求。常见的注射用水储存与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分配系统由注射用水储存系统、分配模块单元和用水点管道系统</w:t>
      </w:r>
      <w:r>
        <w:rPr>
          <w:spacing w:val="134"/>
          <w:w w:val="95"/>
        </w:rPr>
        <w:t xml:space="preserve"> </w:t>
      </w:r>
      <w:r>
        <w:t>等构成。</w:t>
      </w:r>
    </w:p>
    <w:p w14:paraId="27493E84">
      <w:pPr>
        <w:pStyle w:val="2"/>
        <w:spacing w:line="321" w:lineRule="auto"/>
        <w:ind w:right="112" w:firstLine="640"/>
        <w:jc w:val="left"/>
      </w:pPr>
      <w:r>
        <w:t>注射用水储存系统用于调节高峰流量需求与使用量之间的</w:t>
      </w:r>
      <w:r>
        <w:rPr>
          <w:w w:val="99"/>
        </w:rPr>
        <w:t xml:space="preserve"> </w:t>
      </w:r>
      <w:r>
        <w:rPr>
          <w:spacing w:val="-4"/>
          <w:w w:val="95"/>
        </w:rPr>
        <w:t>关系，使二者合理地匹配。分配系统的主要功能是将符合质量标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准的注射用水以连续循环的方式输送到各个工艺用水点，并保证</w:t>
      </w:r>
      <w:r>
        <w:rPr>
          <w:spacing w:val="136"/>
          <w:w w:val="95"/>
        </w:rPr>
        <w:t xml:space="preserve"> </w:t>
      </w:r>
      <w:r>
        <w:t>其压力、流量和温度等工艺参数符合工艺生产要求。</w:t>
      </w:r>
    </w:p>
    <w:p w14:paraId="44F959FD">
      <w:pPr>
        <w:pStyle w:val="2"/>
        <w:spacing w:before="34" w:line="312" w:lineRule="auto"/>
        <w:ind w:right="433" w:firstLine="640"/>
        <w:jc w:val="both"/>
      </w:pPr>
      <w:r>
        <w:rPr>
          <w:spacing w:val="-4"/>
          <w:w w:val="95"/>
        </w:rPr>
        <w:t>注射用水储存与分配系统应当基于污染控制策略，最大限度</w:t>
      </w:r>
      <w:r>
        <w:rPr>
          <w:w w:val="99"/>
        </w:rPr>
        <w:t xml:space="preserve"> </w:t>
      </w:r>
      <w:r>
        <w:rPr>
          <w:spacing w:val="5"/>
        </w:rPr>
        <w:t>地降低微生物生长、生物膜形成的风险（例如在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70</w:t>
      </w:r>
      <w:r>
        <w:rPr>
          <w:rFonts w:ascii="宋体" w:hAnsi="宋体" w:eastAsia="宋体" w:cs="宋体"/>
          <w:spacing w:val="3"/>
        </w:rPr>
        <w:t>℃</w:t>
      </w:r>
      <w:r>
        <w:rPr>
          <w:spacing w:val="3"/>
        </w:rPr>
        <w:t>以上保温</w:t>
      </w:r>
      <w:r>
        <w:rPr>
          <w:w w:val="99"/>
        </w:rPr>
        <w:t xml:space="preserve"> </w:t>
      </w:r>
      <w:r>
        <w:t>循环）。</w:t>
      </w:r>
    </w:p>
    <w:p w14:paraId="5BF984B6">
      <w:pPr>
        <w:spacing w:after="0" w:line="312" w:lineRule="auto"/>
        <w:jc w:val="both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5B1ADFE3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EB464C8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591E2B3">
      <w:pPr>
        <w:pStyle w:val="2"/>
        <w:spacing w:before="0" w:line="240" w:lineRule="auto"/>
        <w:ind w:left="747" w:right="0"/>
        <w:jc w:val="left"/>
        <w:rPr>
          <w:rFonts w:ascii="宋体" w:hAnsi="宋体" w:eastAsia="宋体" w:cs="宋体"/>
        </w:rPr>
      </w:pPr>
      <w:bookmarkStart w:id="61" w:name="（三）注射用水系统检查要点"/>
      <w:bookmarkEnd w:id="61"/>
      <w:bookmarkStart w:id="62" w:name="_bookmark21"/>
      <w:bookmarkEnd w:id="62"/>
      <w:r>
        <w:rPr>
          <w:rFonts w:ascii="宋体" w:hAnsi="宋体" w:eastAsia="宋体" w:cs="宋体"/>
        </w:rPr>
        <w:t>（三）注射用水系统检查要点</w:t>
      </w:r>
    </w:p>
    <w:p w14:paraId="75589A73">
      <w:pPr>
        <w:pStyle w:val="2"/>
        <w:spacing w:before="140" w:line="321" w:lineRule="auto"/>
        <w:ind w:right="271" w:firstLine="640"/>
        <w:jc w:val="both"/>
      </w:pPr>
      <w:r>
        <w:rPr>
          <w:spacing w:val="-4"/>
          <w:w w:val="95"/>
        </w:rPr>
        <w:t>注射用水系统设计、安装、运行和维护的要求与上文纯化水</w:t>
      </w:r>
      <w:r>
        <w:rPr>
          <w:w w:val="99"/>
        </w:rPr>
        <w:t xml:space="preserve"> </w:t>
      </w:r>
      <w:r>
        <w:rPr>
          <w:spacing w:val="-4"/>
          <w:w w:val="95"/>
        </w:rPr>
        <w:t>系统类似，但注射用水对微生物、内毒素以及水的化学纯度有着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更高的要求，注射用水的制备方式、循环温度的不同也决定了不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同的风险控制策略。本指南在确认、日常运行与维护保养、水质</w:t>
      </w:r>
      <w:r>
        <w:rPr>
          <w:spacing w:val="133"/>
          <w:w w:val="95"/>
        </w:rPr>
        <w:t xml:space="preserve"> </w:t>
      </w:r>
      <w:r>
        <w:rPr>
          <w:spacing w:val="7"/>
        </w:rPr>
        <w:t>监测方面的现场检查要点主要基于当前蒸馏法制备注射用水的</w:t>
      </w:r>
      <w:r>
        <w:rPr>
          <w:w w:val="99"/>
        </w:rPr>
        <w:t xml:space="preserve"> </w:t>
      </w:r>
      <w:r>
        <w:t>风险认知。</w:t>
      </w:r>
    </w:p>
    <w:p w14:paraId="7CD73E72">
      <w:pPr>
        <w:pStyle w:val="2"/>
        <w:spacing w:line="321" w:lineRule="auto"/>
        <w:ind w:left="747" w:right="1779"/>
        <w:jc w:val="left"/>
      </w:pPr>
      <w:r>
        <w:t>检查要点包括但不限于：</w:t>
      </w:r>
      <w:r>
        <w:rPr>
          <w:w w:val="99"/>
        </w:rPr>
        <w:t xml:space="preserve"> </w:t>
      </w:r>
      <w:bookmarkStart w:id="63" w:name="_bookmark22"/>
      <w:bookmarkEnd w:id="63"/>
      <w:bookmarkStart w:id="64" w:name="1.注射用水系统的确认"/>
      <w:bookmarkEnd w:id="64"/>
      <w:r>
        <w:t>1.注射用水系统的确认</w:t>
      </w:r>
    </w:p>
    <w:p w14:paraId="24A9F27D">
      <w:pPr>
        <w:pStyle w:val="2"/>
        <w:spacing w:before="34" w:line="321" w:lineRule="auto"/>
        <w:ind w:right="0" w:firstLine="640"/>
        <w:jc w:val="left"/>
      </w:pPr>
      <w:r>
        <w:rPr>
          <w:spacing w:val="-10"/>
          <w:w w:val="95"/>
        </w:rPr>
        <w:t>应当对注射用水系统的设计、安装、运行和性能等进行确认，</w:t>
      </w:r>
      <w:r>
        <w:rPr>
          <w:w w:val="99"/>
        </w:rPr>
        <w:t xml:space="preserve"> </w:t>
      </w:r>
      <w:r>
        <w:rPr>
          <w:spacing w:val="-4"/>
        </w:rPr>
        <w:t>确保系统持续稳定生产出符合标准的注射用水，并保存注射用水</w:t>
      </w:r>
      <w:r>
        <w:rPr>
          <w:w w:val="99"/>
        </w:rPr>
        <w:t xml:space="preserve"> </w:t>
      </w:r>
      <w:r>
        <w:t>系统确认相关技术资料。</w:t>
      </w:r>
    </w:p>
    <w:p w14:paraId="0A1814BE">
      <w:pPr>
        <w:pStyle w:val="2"/>
        <w:spacing w:before="34" w:line="302" w:lineRule="auto"/>
        <w:ind w:left="747" w:right="0"/>
        <w:jc w:val="left"/>
      </w:pPr>
      <w:bookmarkStart w:id="65" w:name="（1）设计确认（DQ）"/>
      <w:bookmarkEnd w:id="65"/>
      <w:r>
        <w:t>（1）设计确认（</w:t>
      </w:r>
      <w:r>
        <w:rPr>
          <w:rFonts w:ascii="Times New Roman" w:hAnsi="Times New Roman" w:eastAsia="Times New Roman" w:cs="Times New Roman"/>
        </w:rPr>
        <w:t>DQ</w:t>
      </w:r>
      <w:r>
        <w:t>）</w:t>
      </w:r>
      <w:r>
        <w:rPr>
          <w:w w:val="99"/>
        </w:rPr>
        <w:t xml:space="preserve"> </w:t>
      </w:r>
      <w:r>
        <w:rPr>
          <w:spacing w:val="3"/>
        </w:rPr>
        <w:t>注射用水系统的稳健运行离不开良好的设计，在</w:t>
      </w:r>
      <w:r>
        <w:rPr>
          <w:spacing w:val="-86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2"/>
        </w:rPr>
        <w:t>提出</w:t>
      </w:r>
    </w:p>
    <w:p w14:paraId="15C96244">
      <w:pPr>
        <w:pStyle w:val="2"/>
        <w:spacing w:before="24" w:line="321" w:lineRule="auto"/>
        <w:ind w:right="0"/>
        <w:jc w:val="left"/>
      </w:pPr>
      <w:r>
        <w:t>阶段以及设计阶段应当综合考虑生产要求，结合法规要求合理、</w:t>
      </w:r>
      <w:r>
        <w:rPr>
          <w:w w:val="99"/>
        </w:rPr>
        <w:t xml:space="preserve"> </w:t>
      </w:r>
      <w:r>
        <w:rPr>
          <w:spacing w:val="-4"/>
        </w:rPr>
        <w:t>科学地设计注射用水的制备系统、储存与分配系统。设计确认应</w:t>
      </w:r>
      <w:r>
        <w:rPr>
          <w:w w:val="99"/>
        </w:rPr>
        <w:t xml:space="preserve"> </w:t>
      </w:r>
      <w:r>
        <w:t>当关注以下内容：</w:t>
      </w:r>
    </w:p>
    <w:p w14:paraId="5592FCF7">
      <w:pPr>
        <w:pStyle w:val="2"/>
        <w:spacing w:line="312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检查相关设计文件，包括设计图纸、使用说明书、工艺用</w:t>
      </w:r>
      <w:r>
        <w:rPr>
          <w:w w:val="99"/>
        </w:rPr>
        <w:t xml:space="preserve"> </w:t>
      </w:r>
      <w:r>
        <w:rPr>
          <w:spacing w:val="-4"/>
          <w:w w:val="95"/>
        </w:rPr>
        <w:t>水制备流程图、技术文件等档案资料，结合现场检查情况，关注</w:t>
      </w:r>
      <w:r>
        <w:rPr>
          <w:spacing w:val="134"/>
          <w:w w:val="95"/>
        </w:rPr>
        <w:t xml:space="preserve"> </w:t>
      </w:r>
      <w:r>
        <w:t>设计是否按照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6"/>
        </w:rPr>
        <w:t xml:space="preserve"> </w:t>
      </w:r>
      <w:r>
        <w:t>的要求进行了响应。</w:t>
      </w:r>
    </w:p>
    <w:p w14:paraId="58677449">
      <w:pPr>
        <w:pStyle w:val="2"/>
        <w:spacing w:before="10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检查注射用水系统的</w:t>
      </w:r>
      <w:r>
        <w:rPr>
          <w:spacing w:val="-9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URS</w:t>
      </w:r>
      <w:r>
        <w:rPr>
          <w:spacing w:val="-9"/>
        </w:rPr>
        <w:t>，是否在设计时考虑了以下方面：</w:t>
      </w:r>
    </w:p>
    <w:p w14:paraId="7D6B676A">
      <w:pPr>
        <w:spacing w:after="0" w:line="240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0DAAA0D3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3D35139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6B1EC75B">
      <w:pPr>
        <w:pStyle w:val="2"/>
        <w:spacing w:before="0" w:line="321" w:lineRule="auto"/>
        <w:ind w:right="0"/>
        <w:jc w:val="left"/>
      </w:pPr>
      <w:r>
        <w:rPr>
          <w:spacing w:val="-9"/>
          <w:w w:val="95"/>
        </w:rPr>
        <w:t>原水质量、注射用水的质量标准、用水量、制备系统的最佳产能、</w:t>
      </w:r>
      <w:r>
        <w:rPr>
          <w:spacing w:val="2"/>
          <w:w w:val="95"/>
        </w:rPr>
        <w:t xml:space="preserve"> </w:t>
      </w:r>
      <w:r>
        <w:rPr>
          <w:spacing w:val="-4"/>
        </w:rPr>
        <w:t>避免过于频繁的启动（停止）、可排尽性、避免微生物污染的冷</w:t>
      </w:r>
      <w:r>
        <w:rPr>
          <w:w w:val="99"/>
        </w:rPr>
        <w:t xml:space="preserve"> </w:t>
      </w:r>
      <w:r>
        <w:t>却或加热装置。</w:t>
      </w:r>
    </w:p>
    <w:p w14:paraId="6457E838">
      <w:pPr>
        <w:pStyle w:val="2"/>
        <w:spacing w:before="34" w:line="31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检查注射用水系统换热器的设计，应当考虑使用安全型的</w:t>
      </w:r>
      <w:r>
        <w:rPr>
          <w:w w:val="99"/>
        </w:rPr>
        <w:t xml:space="preserve"> </w:t>
      </w:r>
      <w:r>
        <w:rPr>
          <w:spacing w:val="-9"/>
          <w:w w:val="95"/>
        </w:rPr>
        <w:t>换热器，如双管板、套管式，换热管设计应当平整光滑、可排尽，</w:t>
      </w:r>
      <w:r>
        <w:rPr>
          <w:spacing w:val="2"/>
          <w:w w:val="95"/>
        </w:rPr>
        <w:t xml:space="preserve"> </w:t>
      </w:r>
      <w:r>
        <w:rPr>
          <w:spacing w:val="-4"/>
        </w:rPr>
        <w:t>以防止换热器对注射用水产生污染。换热器应当采用连续循环回</w:t>
      </w:r>
      <w:r>
        <w:rPr>
          <w:w w:val="99"/>
        </w:rPr>
        <w:t xml:space="preserve"> </w:t>
      </w:r>
      <w:r>
        <w:t>路或子回路，以避免系统中存在死水。</w:t>
      </w:r>
    </w:p>
    <w:p w14:paraId="24FDA1D3">
      <w:pPr>
        <w:pStyle w:val="2"/>
        <w:spacing w:before="41" w:line="316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针对高致敏性、某些激素类、细胞毒性类、高活性化学药</w:t>
      </w:r>
      <w:r>
        <w:rPr>
          <w:w w:val="99"/>
        </w:rPr>
        <w:t xml:space="preserve"> </w:t>
      </w:r>
      <w:r>
        <w:rPr>
          <w:spacing w:val="-4"/>
          <w:w w:val="95"/>
        </w:rPr>
        <w:t>品以及生物（生化）药的生产线，检查企业是否通过采取必要的</w:t>
      </w:r>
      <w:r>
        <w:rPr>
          <w:spacing w:val="133"/>
          <w:w w:val="95"/>
        </w:rPr>
        <w:t xml:space="preserve"> </w:t>
      </w:r>
      <w:r>
        <w:rPr>
          <w:spacing w:val="-15"/>
        </w:rPr>
        <w:t>措施，防止因水系统设计对其他药品生产造成污染；对于生物（生</w:t>
      </w:r>
      <w:r>
        <w:rPr>
          <w:w w:val="99"/>
        </w:rPr>
        <w:t xml:space="preserve"> </w:t>
      </w:r>
      <w:r>
        <w:rPr>
          <w:spacing w:val="-4"/>
          <w:w w:val="95"/>
        </w:rPr>
        <w:t>化）药等生产线涉及有菌（毒）区的，检查企业是否采取必要的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措施，防止有菌（毒）区的水系统对其他区域造成污染。如设置</w:t>
      </w:r>
      <w:r>
        <w:rPr>
          <w:spacing w:val="135"/>
          <w:w w:val="95"/>
        </w:rPr>
        <w:t xml:space="preserve"> </w:t>
      </w:r>
      <w:r>
        <w:t>独立的循环系统等。</w:t>
      </w:r>
    </w:p>
    <w:p w14:paraId="51BE32E1">
      <w:pPr>
        <w:pStyle w:val="2"/>
        <w:spacing w:before="38" w:line="302" w:lineRule="auto"/>
        <w:ind w:left="747" w:right="0"/>
        <w:jc w:val="left"/>
      </w:pPr>
      <w:bookmarkStart w:id="66" w:name="（2）安装确认（IQ）"/>
      <w:bookmarkEnd w:id="66"/>
      <w:r>
        <w:t>（2）安装确认（</w:t>
      </w:r>
      <w:r>
        <w:rPr>
          <w:rFonts w:ascii="Times New Roman" w:hAnsi="Times New Roman" w:eastAsia="Times New Roman" w:cs="Times New Roman"/>
        </w:rPr>
        <w:t>IQ</w:t>
      </w:r>
      <w:r>
        <w:t>）</w:t>
      </w:r>
      <w:r>
        <w:rPr>
          <w:w w:val="99"/>
        </w:rPr>
        <w:t xml:space="preserve"> </w:t>
      </w:r>
      <w:r>
        <w:rPr>
          <w:spacing w:val="-4"/>
          <w:w w:val="95"/>
        </w:rPr>
        <w:t>检查注射用水系统的安装确认文件，制备系统的安装确认需</w:t>
      </w:r>
    </w:p>
    <w:p w14:paraId="7807F83F">
      <w:pPr>
        <w:pStyle w:val="2"/>
        <w:spacing w:before="59" w:line="321" w:lineRule="auto"/>
        <w:ind w:right="271"/>
        <w:jc w:val="both"/>
      </w:pPr>
      <w:r>
        <w:rPr>
          <w:spacing w:val="-4"/>
          <w:w w:val="95"/>
        </w:rPr>
        <w:t>对照竣工图纸及供应商提供的技术资料，检查安装是否符合设计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及规范，分配系统的安装确认应当确保直接接触的储罐、输送管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道的材质不对注射用水造成污染和影响，安装确认应当关注以下</w:t>
      </w:r>
      <w:r>
        <w:rPr>
          <w:spacing w:val="134"/>
          <w:w w:val="95"/>
        </w:rPr>
        <w:t xml:space="preserve"> </w:t>
      </w:r>
      <w:r>
        <w:t>内容：</w:t>
      </w:r>
    </w:p>
    <w:p w14:paraId="2A5A0EEC">
      <w:pPr>
        <w:pStyle w:val="2"/>
        <w:spacing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检查关键仪表是否采用卫生型连接，材质、精度、误差是</w:t>
      </w:r>
      <w:r>
        <w:rPr>
          <w:w w:val="99"/>
        </w:rPr>
        <w:t xml:space="preserve"> </w:t>
      </w:r>
      <w:r>
        <w:rPr>
          <w:spacing w:val="-4"/>
          <w:w w:val="95"/>
        </w:rPr>
        <w:t>否满足相关要求，与产品接触的材料是否有材质证书，管道及配</w:t>
      </w:r>
    </w:p>
    <w:p w14:paraId="41FC53A6">
      <w:pPr>
        <w:spacing w:after="0" w:line="304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3184E318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0C8F2F32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5E2603A4">
      <w:pPr>
        <w:pStyle w:val="2"/>
        <w:spacing w:before="0" w:line="240" w:lineRule="auto"/>
        <w:ind w:right="0"/>
        <w:jc w:val="left"/>
      </w:pPr>
      <w:r>
        <w:t>件、部件等粗糙度是否符合要求。</w:t>
      </w:r>
    </w:p>
    <w:p w14:paraId="701AE61E">
      <w:pPr>
        <w:pStyle w:val="2"/>
        <w:spacing w:before="140" w:line="304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检查系统管道是否经过清洗、酸洗钝化，清洗效果与钝化</w:t>
      </w:r>
      <w:r>
        <w:rPr>
          <w:w w:val="99"/>
        </w:rPr>
        <w:t xml:space="preserve"> </w:t>
      </w:r>
      <w:r>
        <w:t>效果是否符合要求，管路的连接方式是否为卫生型连接。</w:t>
      </w:r>
    </w:p>
    <w:p w14:paraId="2722228B">
      <w:pPr>
        <w:pStyle w:val="2"/>
        <w:spacing w:before="56" w:line="304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检查现场安装的仪表及确认测试仪表是否完成校准，并在</w:t>
      </w:r>
      <w:r>
        <w:rPr>
          <w:w w:val="99"/>
        </w:rPr>
        <w:t xml:space="preserve"> </w:t>
      </w:r>
      <w:r>
        <w:t>有效期内。</w:t>
      </w:r>
    </w:p>
    <w:p w14:paraId="6C82E220">
      <w:pPr>
        <w:pStyle w:val="2"/>
        <w:spacing w:before="54" w:line="312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结合现场检查实际，依风险可关注焊点图、焊接记录、焊</w:t>
      </w:r>
      <w:r>
        <w:rPr>
          <w:w w:val="99"/>
        </w:rPr>
        <w:t xml:space="preserve"> </w:t>
      </w:r>
      <w:r>
        <w:rPr>
          <w:spacing w:val="-4"/>
          <w:w w:val="95"/>
        </w:rPr>
        <w:t>工资质、氩气合格证书、焊接规程、焊机的校验、内窥镜记录及</w:t>
      </w:r>
      <w:r>
        <w:rPr>
          <w:spacing w:val="136"/>
          <w:w w:val="95"/>
        </w:rPr>
        <w:t xml:space="preserve"> </w:t>
      </w:r>
      <w:r>
        <w:t>照片等。</w:t>
      </w:r>
    </w:p>
    <w:p w14:paraId="2F6C1E97">
      <w:pPr>
        <w:pStyle w:val="2"/>
        <w:spacing w:before="44" w:line="304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检查水平管路坡度是否满足要求；储罐过滤器是否安装正</w:t>
      </w:r>
      <w:r>
        <w:rPr>
          <w:w w:val="99"/>
        </w:rPr>
        <w:t xml:space="preserve"> </w:t>
      </w:r>
      <w:r>
        <w:t>确并且有完整性测试证明。</w:t>
      </w:r>
    </w:p>
    <w:p w14:paraId="764B1110">
      <w:pPr>
        <w:pStyle w:val="2"/>
        <w:spacing w:before="54" w:line="312" w:lineRule="auto"/>
        <w:ind w:right="2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检查管路及系统的压力试验是否符合要求，系统的布局及</w:t>
      </w:r>
      <w:r>
        <w:rPr>
          <w:w w:val="99"/>
        </w:rPr>
        <w:t xml:space="preserve"> </w:t>
      </w:r>
      <w:r>
        <w:rPr>
          <w:spacing w:val="-4"/>
          <w:w w:val="95"/>
        </w:rPr>
        <w:t>管路是否存在死角、盲管。应当关注循环管路的管径与隔膜阀连</w:t>
      </w:r>
      <w:r>
        <w:rPr>
          <w:spacing w:val="133"/>
          <w:w w:val="95"/>
        </w:rPr>
        <w:t xml:space="preserve"> </w:t>
      </w:r>
      <w:r>
        <w:t>接方式的匹配性。</w:t>
      </w:r>
    </w:p>
    <w:p w14:paraId="719526D0">
      <w:pPr>
        <w:pStyle w:val="2"/>
        <w:spacing w:before="44" w:line="304" w:lineRule="auto"/>
        <w:ind w:right="27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对自控系统按照设计资料进行确认，一般包括硬件部件、</w:t>
      </w:r>
      <w:r>
        <w:rPr>
          <w:w w:val="99"/>
        </w:rPr>
        <w:t xml:space="preserve"> </w:t>
      </w:r>
      <w:r>
        <w:rPr>
          <w:spacing w:val="4"/>
        </w:rPr>
        <w:t>电路图、输入输出、</w:t>
      </w:r>
      <w:r>
        <w:rPr>
          <w:rFonts w:ascii="Times New Roman" w:hAnsi="Times New Roman" w:eastAsia="Times New Roman" w:cs="Times New Roman"/>
          <w:spacing w:val="4"/>
        </w:rPr>
        <w:t>HMI</w:t>
      </w:r>
      <w:r>
        <w:rPr>
          <w:rFonts w:ascii="Times New Roman" w:hAnsi="Times New Roman" w:eastAsia="Times New Roman" w:cs="Times New Roman"/>
          <w:spacing w:val="-8"/>
        </w:rPr>
        <w:t xml:space="preserve"> </w:t>
      </w:r>
      <w:r>
        <w:rPr>
          <w:spacing w:val="6"/>
        </w:rPr>
        <w:t>操作画面、报警信息、软件版本的检</w:t>
      </w:r>
      <w:r>
        <w:rPr>
          <w:w w:val="99"/>
        </w:rPr>
        <w:t xml:space="preserve"> </w:t>
      </w:r>
      <w:r>
        <w:t>查等。</w:t>
      </w:r>
    </w:p>
    <w:p w14:paraId="7022580C">
      <w:pPr>
        <w:pStyle w:val="2"/>
        <w:spacing w:before="54" w:line="312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检查分配系统取样口、用水点的设计及安装情况，是否考</w:t>
      </w:r>
      <w:r>
        <w:rPr>
          <w:w w:val="99"/>
        </w:rPr>
        <w:t xml:space="preserve"> </w:t>
      </w:r>
      <w:r>
        <w:rPr>
          <w:spacing w:val="-4"/>
        </w:rPr>
        <w:t>虑针对防倒吸情况进行设计，以确保防止取样口、用水点发生空</w:t>
      </w:r>
      <w:r>
        <w:rPr>
          <w:w w:val="99"/>
        </w:rPr>
        <w:t xml:space="preserve"> </w:t>
      </w:r>
      <w:r>
        <w:t>气或液体进入水系统的情况，防止引起微生物、内毒素/热原、</w:t>
      </w:r>
      <w:r>
        <w:rPr>
          <w:spacing w:val="-132"/>
        </w:rPr>
        <w:t xml:space="preserve"> </w:t>
      </w:r>
      <w:r>
        <w:t>微粒等内源性和外源性污染，如材质符合</w:t>
      </w:r>
      <w:r>
        <w:rPr>
          <w:spacing w:val="-119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316L</w:t>
      </w:r>
      <w:r>
        <w:rPr>
          <w:spacing w:val="-3"/>
        </w:rPr>
        <w:t>、保证系统正压、</w:t>
      </w:r>
      <w:r>
        <w:rPr>
          <w:w w:val="99"/>
        </w:rPr>
        <w:t xml:space="preserve"> </w:t>
      </w:r>
      <w:r>
        <w:t>合理规划系统峰值流量、离心泵的流量/扬程选型等。</w:t>
      </w:r>
    </w:p>
    <w:p w14:paraId="1C210C64">
      <w:pPr>
        <w:spacing w:after="0" w:line="312" w:lineRule="auto"/>
        <w:jc w:val="left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0A1134D0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A6813BE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36FCC5A">
      <w:pPr>
        <w:pStyle w:val="2"/>
        <w:spacing w:before="0" w:line="312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现场对注射用水系统的布局设计以及管路进行检查，管道</w:t>
      </w:r>
      <w:r>
        <w:rPr>
          <w:w w:val="99"/>
        </w:rPr>
        <w:t xml:space="preserve"> </w:t>
      </w:r>
      <w:r>
        <w:rPr>
          <w:spacing w:val="-4"/>
          <w:w w:val="95"/>
        </w:rPr>
        <w:t>的设计和安装是否存在死角、盲管，管道坡度、系统配件等是否</w:t>
      </w:r>
      <w:r>
        <w:rPr>
          <w:spacing w:val="132"/>
          <w:w w:val="95"/>
        </w:rPr>
        <w:t xml:space="preserve"> </w:t>
      </w:r>
      <w:r>
        <w:t>符合要求，罐体是否设计了合理的“最低排放点”。</w:t>
      </w:r>
    </w:p>
    <w:p w14:paraId="11FEA5F6">
      <w:pPr>
        <w:pStyle w:val="2"/>
        <w:spacing w:before="47" w:line="316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检查是否在制备系统出口、分配系统回路设置温度、电导</w:t>
      </w:r>
      <w:r>
        <w:rPr>
          <w:w w:val="99"/>
        </w:rPr>
        <w:t xml:space="preserve"> </w:t>
      </w:r>
      <w:r>
        <w:rPr>
          <w:spacing w:val="-4"/>
          <w:w w:val="95"/>
        </w:rPr>
        <w:t>率传感器，当制备系统出口产水温度及电导率达不到要求，不应</w:t>
      </w:r>
      <w:r>
        <w:rPr>
          <w:spacing w:val="134"/>
          <w:w w:val="95"/>
        </w:rPr>
        <w:t xml:space="preserve"> </w:t>
      </w:r>
      <w:r>
        <w:rPr>
          <w:spacing w:val="7"/>
        </w:rPr>
        <w:t>当进入注射用水储罐进行使用；检查是否在分配系统回路设置</w:t>
      </w:r>
      <w:r>
        <w:rPr>
          <w:w w:val="99"/>
        </w:rPr>
        <w:t xml:space="preserve"> </w:t>
      </w:r>
      <w:r>
        <w:t>TOC</w:t>
      </w:r>
      <w:r>
        <w:rPr>
          <w:spacing w:val="-117"/>
        </w:rPr>
        <w:t xml:space="preserve"> </w:t>
      </w:r>
      <w:r>
        <w:t>监测装置，当分配系统回路在线监测指标达不到要求时，不</w:t>
      </w:r>
      <w:r>
        <w:rPr>
          <w:w w:val="99"/>
        </w:rPr>
        <w:t xml:space="preserve"> </w:t>
      </w:r>
      <w:r>
        <w:rPr>
          <w:spacing w:val="-4"/>
          <w:w w:val="95"/>
        </w:rPr>
        <w:t>应当返回注射用水储罐进行使用，需通过确认或检验、监测数据</w:t>
      </w:r>
      <w:r>
        <w:rPr>
          <w:spacing w:val="133"/>
          <w:w w:val="95"/>
        </w:rPr>
        <w:t xml:space="preserve"> </w:t>
      </w:r>
      <w:r>
        <w:t>评估来明确处理方式。</w:t>
      </w:r>
    </w:p>
    <w:p w14:paraId="0B92FC28">
      <w:pPr>
        <w:pStyle w:val="2"/>
        <w:spacing w:before="40" w:line="312" w:lineRule="auto"/>
        <w:ind w:right="113" w:firstLine="640"/>
        <w:jc w:val="both"/>
      </w:pPr>
      <w:r>
        <w:rPr>
          <w:rFonts w:ascii="Wingdings" w:hAnsi="Wingdings" w:eastAsia="Wingdings" w:cs="Wingdings"/>
          <w:spacing w:val="8"/>
        </w:rPr>
        <w:t></w:t>
      </w:r>
      <w:r>
        <w:rPr>
          <w:spacing w:val="8"/>
        </w:rPr>
        <w:t>检查是否对低温储存/循环系统在安装施工阶段进行了防</w:t>
      </w:r>
      <w:r>
        <w:rPr>
          <w:w w:val="99"/>
        </w:rPr>
        <w:t xml:space="preserve"> </w:t>
      </w:r>
      <w:r>
        <w:rPr>
          <w:spacing w:val="-4"/>
          <w:w w:val="95"/>
        </w:rPr>
        <w:t>结露处理，是否最大程度包含了裸露的不锈钢表面，如注射用水</w:t>
      </w:r>
      <w:r>
        <w:rPr>
          <w:spacing w:val="134"/>
          <w:w w:val="95"/>
        </w:rPr>
        <w:t xml:space="preserve"> </w:t>
      </w:r>
      <w:r>
        <w:t>罐体封头处。</w:t>
      </w:r>
    </w:p>
    <w:p w14:paraId="72F3887A">
      <w:pPr>
        <w:pStyle w:val="2"/>
        <w:spacing w:before="47" w:line="302" w:lineRule="auto"/>
        <w:ind w:left="747" w:right="0"/>
        <w:jc w:val="left"/>
      </w:pPr>
      <w:bookmarkStart w:id="67" w:name="（3）运行确认（OQ）"/>
      <w:bookmarkEnd w:id="67"/>
      <w:r>
        <w:t>（3）运行确认（</w:t>
      </w:r>
      <w:r>
        <w:rPr>
          <w:rFonts w:ascii="Times New Roman" w:hAnsi="Times New Roman" w:eastAsia="Times New Roman" w:cs="Times New Roman"/>
        </w:rPr>
        <w:t>OQ</w:t>
      </w:r>
      <w:r>
        <w:t>）</w:t>
      </w:r>
      <w:r>
        <w:rPr>
          <w:w w:val="99"/>
        </w:rPr>
        <w:t xml:space="preserve"> </w:t>
      </w:r>
      <w:r>
        <w:rPr>
          <w:spacing w:val="-4"/>
          <w:w w:val="95"/>
        </w:rPr>
        <w:t>检查注射用水系统的运行确认文件，运行确认是为了确定注</w:t>
      </w:r>
    </w:p>
    <w:p w14:paraId="1E6F7E8F">
      <w:pPr>
        <w:pStyle w:val="2"/>
        <w:spacing w:before="57" w:line="321" w:lineRule="auto"/>
        <w:ind w:right="0"/>
        <w:jc w:val="left"/>
      </w:pPr>
      <w:r>
        <w:rPr>
          <w:spacing w:val="-4"/>
          <w:w w:val="95"/>
        </w:rPr>
        <w:t>射用水系统能够按照设定的参数运行，并产生符合标准要求的注</w:t>
      </w:r>
      <w:r>
        <w:rPr>
          <w:spacing w:val="134"/>
          <w:w w:val="95"/>
        </w:rPr>
        <w:t xml:space="preserve"> </w:t>
      </w:r>
      <w:r>
        <w:t>射用水而进行的实际运行试验，运行确认应当关注以下内容：</w:t>
      </w:r>
    </w:p>
    <w:p w14:paraId="7F17140C">
      <w:pPr>
        <w:pStyle w:val="2"/>
        <w:spacing w:line="31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检查是否对保证系统的安全措施进行确认，如急停、断电</w:t>
      </w:r>
      <w:r>
        <w:rPr>
          <w:w w:val="99"/>
        </w:rPr>
        <w:t xml:space="preserve"> </w:t>
      </w:r>
      <w:r>
        <w:rPr>
          <w:spacing w:val="-4"/>
          <w:w w:val="95"/>
        </w:rPr>
        <w:t>失电时，系统报警能够正确触发，联锁功能符合设计要求，急停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后系统有报警信息，确认报警后，系统是否可正常工作，且系统</w:t>
      </w:r>
      <w:r>
        <w:rPr>
          <w:spacing w:val="135"/>
          <w:w w:val="95"/>
        </w:rPr>
        <w:t xml:space="preserve"> </w:t>
      </w:r>
      <w:r>
        <w:t>数据不丢失等。</w:t>
      </w:r>
    </w:p>
    <w:p w14:paraId="6FF3068D">
      <w:pPr>
        <w:pStyle w:val="2"/>
        <w:spacing w:before="41" w:line="240" w:lineRule="auto"/>
        <w:ind w:left="747" w:right="0"/>
        <w:jc w:val="left"/>
      </w:pPr>
      <w:r>
        <w:rPr>
          <w:rFonts w:ascii="Wingdings" w:hAnsi="Wingdings" w:eastAsia="Wingdings" w:cs="Wingdings"/>
          <w:spacing w:val="-4"/>
        </w:rPr>
        <w:t></w:t>
      </w:r>
      <w:r>
        <w:rPr>
          <w:spacing w:val="-4"/>
        </w:rPr>
        <w:t>检查是否对生产参数/生产能力进行确认，包括温度、电导</w:t>
      </w:r>
    </w:p>
    <w:p w14:paraId="7D16F376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05C3E8E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1C93BC25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EF0A882">
      <w:pPr>
        <w:pStyle w:val="2"/>
        <w:spacing w:before="0" w:line="314" w:lineRule="auto"/>
        <w:ind w:right="431"/>
        <w:jc w:val="both"/>
      </w:pPr>
      <w:r>
        <w:rPr>
          <w:spacing w:val="2"/>
          <w:w w:val="95"/>
        </w:rPr>
        <w:t>率、</w:t>
      </w:r>
      <w:r>
        <w:rPr>
          <w:rFonts w:ascii="Times New Roman" w:hAnsi="Times New Roman" w:eastAsia="Times New Roman" w:cs="Times New Roman"/>
          <w:spacing w:val="2"/>
          <w:w w:val="95"/>
        </w:rPr>
        <w:t>TOC</w:t>
      </w:r>
      <w:r>
        <w:rPr>
          <w:spacing w:val="2"/>
          <w:w w:val="95"/>
        </w:rPr>
        <w:t>、微生物、内毒素、压力、流速等是否满足需求标准/</w:t>
      </w:r>
      <w:r>
        <w:rPr>
          <w:spacing w:val="106"/>
          <w:w w:val="95"/>
        </w:rPr>
        <w:t xml:space="preserve"> </w:t>
      </w:r>
      <w:r>
        <w:rPr>
          <w:spacing w:val="-4"/>
          <w:w w:val="95"/>
        </w:rPr>
        <w:t>设计规格。正常启动设备后，在线监测或取样确认各单元运行及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 xml:space="preserve">产水是否能达到设计要求，在线监测装置（如在线电导率仪、在 </w:t>
      </w:r>
      <w:r>
        <w:rPr>
          <w:spacing w:val="132"/>
          <w:w w:val="95"/>
        </w:rPr>
        <w:t xml:space="preserve"> </w:t>
      </w:r>
      <w:r>
        <w:t>线</w:t>
      </w:r>
      <w:r>
        <w:rPr>
          <w:spacing w:val="-85"/>
        </w:rPr>
        <w:t xml:space="preserve"> </w:t>
      </w:r>
      <w:r>
        <w:rPr>
          <w:rFonts w:ascii="Times New Roman" w:hAnsi="Times New Roman" w:eastAsia="Times New Roman" w:cs="Times New Roman"/>
        </w:rPr>
        <w:t>TOC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t>分析仪等）是否正常运行。</w:t>
      </w:r>
    </w:p>
    <w:p w14:paraId="7F6501E2">
      <w:pPr>
        <w:pStyle w:val="2"/>
        <w:spacing w:before="6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检查是否对数据储存和传输进行确认，系统运行参数是否</w:t>
      </w:r>
      <w:r>
        <w:rPr>
          <w:w w:val="99"/>
        </w:rPr>
        <w:t xml:space="preserve"> </w:t>
      </w:r>
      <w:r>
        <w:t>按照</w:t>
      </w:r>
      <w:r>
        <w:rPr>
          <w:spacing w:val="-82"/>
        </w:rPr>
        <w:t xml:space="preserve"> </w:t>
      </w:r>
      <w:r>
        <w:t>URS</w:t>
      </w:r>
      <w:r>
        <w:rPr>
          <w:spacing w:val="-83"/>
        </w:rPr>
        <w:t xml:space="preserve"> </w:t>
      </w:r>
      <w:r>
        <w:t>要求进行存储和传输。</w:t>
      </w:r>
    </w:p>
    <w:p w14:paraId="4BECDF2D">
      <w:pPr>
        <w:pStyle w:val="2"/>
        <w:spacing w:before="56" w:line="312" w:lineRule="auto"/>
        <w:ind w:right="43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检查是否对消毒进行确认。分配系统的消毒是否能够成功</w:t>
      </w:r>
      <w:r>
        <w:rPr>
          <w:w w:val="99"/>
        </w:rPr>
        <w:t xml:space="preserve"> </w:t>
      </w:r>
      <w:r>
        <w:rPr>
          <w:spacing w:val="-4"/>
          <w:w w:val="95"/>
        </w:rPr>
        <w:t>完成，是否存在消毒死角或积聚残留的死水段，温度和时间是否</w:t>
      </w:r>
      <w:r>
        <w:rPr>
          <w:spacing w:val="133"/>
          <w:w w:val="95"/>
        </w:rPr>
        <w:t xml:space="preserve"> </w:t>
      </w:r>
      <w:r>
        <w:t>能够达到要求等。</w:t>
      </w:r>
    </w:p>
    <w:p w14:paraId="3D19C83E">
      <w:pPr>
        <w:pStyle w:val="2"/>
        <w:spacing w:before="47" w:line="316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检查是否对峰值量进行确认。分配系统的用水量处于最大</w:t>
      </w:r>
      <w:r>
        <w:rPr>
          <w:w w:val="99"/>
        </w:rPr>
        <w:t xml:space="preserve"> </w:t>
      </w:r>
      <w:r>
        <w:t>用量时，检查制备系统供水是否足够，泵的运转状态是否正常，</w:t>
      </w:r>
      <w:r>
        <w:rPr>
          <w:w w:val="99"/>
        </w:rPr>
        <w:t xml:space="preserve"> </w:t>
      </w:r>
      <w:r>
        <w:rPr>
          <w:spacing w:val="-4"/>
        </w:rPr>
        <w:t>回路压力是否保持正压，回水流速是否符合要求、管路是否泄漏</w:t>
      </w:r>
      <w:r>
        <w:rPr>
          <w:w w:val="99"/>
        </w:rPr>
        <w:t xml:space="preserve"> </w:t>
      </w:r>
      <w:r>
        <w:rPr>
          <w:spacing w:val="-4"/>
        </w:rPr>
        <w:t>等（是否基于系统的最差条件确认峰值用水与制备系统的匹配性，</w:t>
      </w:r>
      <w:r>
        <w:rPr>
          <w:w w:val="99"/>
        </w:rPr>
        <w:t xml:space="preserve"> </w:t>
      </w:r>
      <w:r>
        <w:t>如低液位）。</w:t>
      </w:r>
    </w:p>
    <w:p w14:paraId="2F463485">
      <w:pPr>
        <w:pStyle w:val="2"/>
        <w:spacing w:before="38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检查是否进行储罐喷淋装置喷淋效果的确认，如储罐喷淋</w:t>
      </w:r>
      <w:r>
        <w:rPr>
          <w:w w:val="99"/>
        </w:rPr>
        <w:t xml:space="preserve"> </w:t>
      </w:r>
      <w:r>
        <w:t>球是否能覆盖储罐内全部位置。</w:t>
      </w:r>
    </w:p>
    <w:p w14:paraId="0BB8C95C">
      <w:pPr>
        <w:pStyle w:val="2"/>
        <w:spacing w:before="54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检查是否对液位控制功能进行确认，如低液位自动进水、</w:t>
      </w:r>
      <w:r>
        <w:rPr>
          <w:w w:val="99"/>
        </w:rPr>
        <w:t xml:space="preserve"> </w:t>
      </w:r>
      <w:r>
        <w:t>高液位自动停止制水等。</w:t>
      </w:r>
    </w:p>
    <w:p w14:paraId="790FC3C3">
      <w:pPr>
        <w:pStyle w:val="2"/>
        <w:spacing w:before="56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检查是否对自动排放能力进行确认，如制水、回水不合格</w:t>
      </w:r>
      <w:r>
        <w:rPr>
          <w:w w:val="99"/>
        </w:rPr>
        <w:t xml:space="preserve"> </w:t>
      </w:r>
      <w:r>
        <w:t>后是否能自动排放，排放阀设计是否合理。</w:t>
      </w:r>
    </w:p>
    <w:p w14:paraId="355DF712">
      <w:pPr>
        <w:pStyle w:val="2"/>
        <w:spacing w:before="54" w:line="240" w:lineRule="auto"/>
        <w:ind w:left="747" w:right="112"/>
        <w:jc w:val="left"/>
      </w:pPr>
      <w:bookmarkStart w:id="68" w:name="（4）性能确认（PQ）"/>
      <w:bookmarkEnd w:id="68"/>
      <w:r>
        <w:t>（4）性能确认（</w:t>
      </w:r>
      <w:r>
        <w:rPr>
          <w:rFonts w:ascii="Times New Roman" w:hAnsi="Times New Roman" w:eastAsia="Times New Roman" w:cs="Times New Roman"/>
        </w:rPr>
        <w:t>PQ</w:t>
      </w:r>
      <w:r>
        <w:t>）</w:t>
      </w:r>
    </w:p>
    <w:p w14:paraId="3C3C977A">
      <w:pPr>
        <w:spacing w:after="0" w:line="240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63C3CCF9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5E0C872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0B77DBED">
      <w:pPr>
        <w:pStyle w:val="2"/>
        <w:spacing w:before="0" w:line="321" w:lineRule="auto"/>
        <w:ind w:right="111" w:firstLine="640"/>
        <w:jc w:val="both"/>
      </w:pPr>
      <w:r>
        <w:rPr>
          <w:spacing w:val="-4"/>
          <w:w w:val="95"/>
        </w:rPr>
        <w:t>检查注射用水系统的性能确认文件。性能确认旨在通过客观</w:t>
      </w:r>
      <w:r>
        <w:rPr>
          <w:w w:val="99"/>
        </w:rPr>
        <w:t xml:space="preserve"> </w:t>
      </w:r>
      <w:r>
        <w:rPr>
          <w:spacing w:val="-4"/>
          <w:w w:val="95"/>
        </w:rPr>
        <w:t>证据，证明在规定的条件下，能持续地生产出符合标准的注射用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水。与纯化水系统相同，注射用水的性能确认一般也分为三个阶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段，三个阶段的相关要求及检查要点可见本指南纯化水系统现场</w:t>
      </w:r>
      <w:r>
        <w:rPr>
          <w:spacing w:val="134"/>
          <w:w w:val="95"/>
        </w:rPr>
        <w:t xml:space="preserve"> </w:t>
      </w:r>
      <w:r>
        <w:t>检查要点部分内容。</w:t>
      </w:r>
    </w:p>
    <w:p w14:paraId="33872482">
      <w:pPr>
        <w:pStyle w:val="2"/>
        <w:spacing w:line="321" w:lineRule="auto"/>
        <w:ind w:left="747" w:right="0"/>
        <w:jc w:val="left"/>
      </w:pPr>
      <w:bookmarkStart w:id="69" w:name="（5）生命周期内确认状态的维持/再确认"/>
      <w:bookmarkEnd w:id="69"/>
      <w:r>
        <w:t>（5）生命周期内确认状态的维持/再确认</w:t>
      </w:r>
      <w:r>
        <w:rPr>
          <w:w w:val="99"/>
        </w:rPr>
        <w:t xml:space="preserve"> </w:t>
      </w:r>
      <w:r>
        <w:rPr>
          <w:spacing w:val="-4"/>
          <w:w w:val="95"/>
        </w:rPr>
        <w:t>对水系统进行定期预防性维护后，企业可采用年度回顾分析</w:t>
      </w:r>
    </w:p>
    <w:p w14:paraId="0DBB5495">
      <w:pPr>
        <w:pStyle w:val="2"/>
        <w:spacing w:line="321" w:lineRule="auto"/>
        <w:ind w:right="0"/>
        <w:jc w:val="left"/>
      </w:pPr>
      <w:r>
        <w:rPr>
          <w:spacing w:val="-4"/>
          <w:w w:val="95"/>
        </w:rPr>
        <w:t>等方式确保水系统维持确认状态。检查企业是否针对以下情况进</w:t>
      </w:r>
      <w:r>
        <w:rPr>
          <w:spacing w:val="134"/>
          <w:w w:val="95"/>
        </w:rPr>
        <w:t xml:space="preserve"> </w:t>
      </w:r>
      <w:r>
        <w:t>行风险评估以确定是否开展再确认以及再确认的程度：</w:t>
      </w:r>
    </w:p>
    <w:p w14:paraId="5FFE548D">
      <w:pPr>
        <w:pStyle w:val="2"/>
        <w:spacing w:before="34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注射用水系统初始设计发生了重大设计变更。</w:t>
      </w:r>
    </w:p>
    <w:p w14:paraId="3668BA58">
      <w:pPr>
        <w:pStyle w:val="2"/>
        <w:spacing w:before="118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系统计划性停机后重启。</w:t>
      </w:r>
    </w:p>
    <w:p w14:paraId="1656EE3E">
      <w:pPr>
        <w:pStyle w:val="2"/>
        <w:spacing w:before="118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系统性能不稳定并出现重大偏差。</w:t>
      </w:r>
    </w:p>
    <w:p w14:paraId="2ACBF55E">
      <w:pPr>
        <w:pStyle w:val="2"/>
        <w:spacing w:before="120" w:line="312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系统重新制定了污染控制策略。</w:t>
      </w:r>
      <w:r>
        <w:rPr>
          <w:w w:val="99"/>
        </w:rPr>
        <w:t xml:space="preserve"> </w:t>
      </w:r>
      <w:bookmarkStart w:id="70" w:name="2.注射用水系统日常运行与维护保养方面"/>
      <w:bookmarkEnd w:id="70"/>
      <w:bookmarkStart w:id="71" w:name="_bookmark23"/>
      <w:bookmarkEnd w:id="71"/>
      <w:r>
        <w:t>2.注射用水系统日常运行与维护保养方面</w:t>
      </w:r>
      <w:r>
        <w:rPr>
          <w:w w:val="99"/>
        </w:rPr>
        <w:t xml:space="preserve"> </w:t>
      </w:r>
      <w:r>
        <w:rPr>
          <w:spacing w:val="8"/>
        </w:rPr>
        <w:t>注射用水系统运行过程中应当进行日常运行管理与维护保</w:t>
      </w:r>
    </w:p>
    <w:p w14:paraId="7037EF67">
      <w:pPr>
        <w:pStyle w:val="2"/>
        <w:spacing w:before="47" w:line="240" w:lineRule="auto"/>
        <w:ind w:right="0"/>
        <w:jc w:val="left"/>
      </w:pPr>
      <w:r>
        <w:t>养，应当对以下内容重点关注：</w:t>
      </w:r>
    </w:p>
    <w:p w14:paraId="280748B0">
      <w:pPr>
        <w:pStyle w:val="2"/>
        <w:spacing w:before="140" w:line="240" w:lineRule="auto"/>
        <w:ind w:left="747" w:right="0"/>
        <w:jc w:val="left"/>
      </w:pPr>
      <w:bookmarkStart w:id="72" w:name="（1）注射用水系统清洗、消毒"/>
      <w:bookmarkEnd w:id="72"/>
      <w:r>
        <w:t>（1）注射用水系统清洗、消毒</w:t>
      </w:r>
    </w:p>
    <w:p w14:paraId="5C4BC675">
      <w:pPr>
        <w:pStyle w:val="2"/>
        <w:spacing w:before="140" w:line="312" w:lineRule="auto"/>
        <w:ind w:right="11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检查注射用水系统清洁、消毒管理规程，应当采用适当方</w:t>
      </w:r>
      <w:r>
        <w:rPr>
          <w:w w:val="99"/>
        </w:rPr>
        <w:t xml:space="preserve"> </w:t>
      </w:r>
      <w:r>
        <w:rPr>
          <w:spacing w:val="-4"/>
          <w:w w:val="95"/>
        </w:rPr>
        <w:t>法定期消毒，例如过热水、纯蒸汽等，确定适宜的频次并予以确</w:t>
      </w:r>
      <w:r>
        <w:rPr>
          <w:spacing w:val="133"/>
          <w:w w:val="95"/>
        </w:rPr>
        <w:t xml:space="preserve"> </w:t>
      </w:r>
      <w:r>
        <w:t>认。</w:t>
      </w:r>
    </w:p>
    <w:p w14:paraId="2CAF2B84">
      <w:pPr>
        <w:pStyle w:val="2"/>
        <w:spacing w:before="44" w:line="240" w:lineRule="auto"/>
        <w:ind w:left="747" w:right="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应当按照操作规程进行清洗消毒，现场对操作人员提问，</w:t>
      </w:r>
    </w:p>
    <w:p w14:paraId="2C83FCF5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0C9477A7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609A854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7561F091">
      <w:pPr>
        <w:pStyle w:val="2"/>
        <w:spacing w:before="0" w:line="240" w:lineRule="auto"/>
        <w:ind w:right="112"/>
        <w:jc w:val="left"/>
      </w:pPr>
      <w:r>
        <w:t>查阅设备的清洗消毒电子记录及相关纸质记录。</w:t>
      </w:r>
    </w:p>
    <w:p w14:paraId="0D62CAAC">
      <w:pPr>
        <w:pStyle w:val="2"/>
        <w:spacing w:before="140" w:line="316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检查企业是否建立预防生物膜形成的控制措施，是否制定</w:t>
      </w:r>
      <w:r>
        <w:rPr>
          <w:w w:val="99"/>
        </w:rPr>
        <w:t xml:space="preserve"> </w:t>
      </w:r>
      <w:r>
        <w:rPr>
          <w:spacing w:val="-4"/>
        </w:rPr>
        <w:t>生物膜去除的方法，去除条件是否合理（如是否控制去除过程温</w:t>
      </w:r>
      <w:r>
        <w:rPr>
          <w:w w:val="99"/>
        </w:rPr>
        <w:t xml:space="preserve"> </w:t>
      </w:r>
      <w:r>
        <w:rPr>
          <w:spacing w:val="-4"/>
        </w:rPr>
        <w:t>度、清洗剂浓度、时间等）。同时应当关注系统在采用化学品进</w:t>
      </w:r>
      <w:r>
        <w:rPr>
          <w:w w:val="99"/>
        </w:rPr>
        <w:t xml:space="preserve"> </w:t>
      </w:r>
      <w:r>
        <w:rPr>
          <w:spacing w:val="-4"/>
        </w:rPr>
        <w:t>行消毒/清洗后，恢复使用前应当至少得到化学检测结果并批准，</w:t>
      </w:r>
      <w:r>
        <w:rPr>
          <w:w w:val="99"/>
        </w:rPr>
        <w:t xml:space="preserve"> </w:t>
      </w:r>
      <w:r>
        <w:rPr>
          <w:spacing w:val="-4"/>
        </w:rPr>
        <w:t>使用该系统的水生产的批次在考虑放行前，微生物、内毒素（如</w:t>
      </w:r>
      <w:r>
        <w:rPr>
          <w:w w:val="99"/>
        </w:rPr>
        <w:t xml:space="preserve"> </w:t>
      </w:r>
      <w:r>
        <w:t>涉及）、不可接受微生物（如涉及）结果应当得到确认。</w:t>
      </w:r>
    </w:p>
    <w:p w14:paraId="2E999A1C">
      <w:pPr>
        <w:pStyle w:val="2"/>
        <w:spacing w:before="38" w:line="240" w:lineRule="auto"/>
        <w:ind w:left="747" w:right="112"/>
        <w:jc w:val="left"/>
      </w:pPr>
      <w:bookmarkStart w:id="73" w:name="（2）注射用水系统的运行及维护"/>
      <w:bookmarkEnd w:id="73"/>
      <w:r>
        <w:t>（2）注射用水系统的运行及维护</w:t>
      </w:r>
    </w:p>
    <w:p w14:paraId="676B383D">
      <w:pPr>
        <w:pStyle w:val="2"/>
        <w:spacing w:before="140" w:line="312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检查注射用水系统定期维护的管理制度及记录。根据日常</w:t>
      </w:r>
      <w:r>
        <w:rPr>
          <w:w w:val="99"/>
        </w:rPr>
        <w:t xml:space="preserve"> </w:t>
      </w:r>
      <w:r>
        <w:rPr>
          <w:spacing w:val="-9"/>
          <w:w w:val="95"/>
        </w:rPr>
        <w:t>监测结果，关注系统运行及维护情况。涉及需计量、校验的仪表、</w:t>
      </w:r>
      <w:r>
        <w:rPr>
          <w:spacing w:val="2"/>
          <w:w w:val="95"/>
        </w:rPr>
        <w:t xml:space="preserve"> </w:t>
      </w:r>
      <w:r>
        <w:t>器具应当定期计量、校验，并查阅相关证书。</w:t>
      </w:r>
    </w:p>
    <w:p w14:paraId="5173E0D7">
      <w:pPr>
        <w:pStyle w:val="2"/>
        <w:spacing w:before="44" w:line="312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委托制水系统厂家技术团队或第三方公司进行维护的，应</w:t>
      </w:r>
      <w:r>
        <w:rPr>
          <w:w w:val="99"/>
        </w:rPr>
        <w:t xml:space="preserve"> </w:t>
      </w:r>
      <w:r>
        <w:t>当检查双方签订的协议，是否规定技术要求、质量要求等内容，</w:t>
      </w:r>
      <w:r>
        <w:rPr>
          <w:w w:val="99"/>
        </w:rPr>
        <w:t xml:space="preserve"> </w:t>
      </w:r>
      <w:r>
        <w:t>明确双方所承担的质量责任，查阅相关协议和记录。</w:t>
      </w:r>
    </w:p>
    <w:p w14:paraId="3238AEC5">
      <w:pPr>
        <w:pStyle w:val="2"/>
        <w:spacing w:before="44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-4"/>
        </w:rPr>
        <w:t></w:t>
      </w:r>
      <w:r>
        <w:rPr>
          <w:spacing w:val="-4"/>
        </w:rPr>
        <w:t>对于高温储存/分配系统，检查在具备换热器的用水点低温</w:t>
      </w:r>
      <w:r>
        <w:rPr>
          <w:w w:val="99"/>
        </w:rPr>
        <w:t xml:space="preserve"> </w:t>
      </w:r>
      <w:r>
        <w:rPr>
          <w:spacing w:val="-9"/>
          <w:w w:val="95"/>
        </w:rPr>
        <w:t>用水时是否对主系统水温产生影响（例如，过多的子循环设计）。</w:t>
      </w:r>
    </w:p>
    <w:p w14:paraId="7460D4FE">
      <w:pPr>
        <w:pStyle w:val="2"/>
        <w:spacing w:before="54" w:line="31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检查储罐安装的呼吸过滤器滤芯的管理，完整性测试的周</w:t>
      </w:r>
      <w:r>
        <w:rPr>
          <w:w w:val="99"/>
        </w:rPr>
        <w:t xml:space="preserve"> </w:t>
      </w:r>
      <w:r>
        <w:rPr>
          <w:spacing w:val="-4"/>
        </w:rPr>
        <w:t>期要求及相关记录，是否在安装前和使用后进行完整性测试并定</w:t>
      </w:r>
      <w:r>
        <w:rPr>
          <w:w w:val="99"/>
        </w:rPr>
        <w:t xml:space="preserve"> </w:t>
      </w:r>
      <w:r>
        <w:rPr>
          <w:spacing w:val="-4"/>
        </w:rPr>
        <w:t>期更换。是否采取措施防止冷凝水聚集在呼吸过滤器的滤芯表面，</w:t>
      </w:r>
      <w:r>
        <w:rPr>
          <w:w w:val="99"/>
        </w:rPr>
        <w:t xml:space="preserve"> </w:t>
      </w:r>
      <w:r>
        <w:t>若为呼吸过滤器安装加热套，要避免过热导致的滤芯损坏。</w:t>
      </w:r>
    </w:p>
    <w:p w14:paraId="6419CA28">
      <w:pPr>
        <w:pStyle w:val="2"/>
        <w:spacing w:before="41" w:line="240" w:lineRule="auto"/>
        <w:ind w:left="747" w:right="112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检查计划性停机或异常停机的管理规程，注射用水正常运</w:t>
      </w:r>
    </w:p>
    <w:p w14:paraId="38D310C6">
      <w:pPr>
        <w:spacing w:after="0" w:line="240" w:lineRule="auto"/>
        <w:jc w:val="left"/>
        <w:sectPr>
          <w:footerReference r:id="rId9" w:type="default"/>
          <w:pgSz w:w="11910" w:h="16840"/>
          <w:pgMar w:top="1580" w:right="1040" w:bottom="2480" w:left="1480" w:header="0" w:footer="2285" w:gutter="0"/>
          <w:pgNumType w:start="30"/>
          <w:cols w:space="720" w:num="1"/>
        </w:sectPr>
      </w:pPr>
    </w:p>
    <w:p w14:paraId="6E1E4F7D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218F009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43BF13DF">
      <w:pPr>
        <w:pStyle w:val="2"/>
        <w:spacing w:before="0" w:line="321" w:lineRule="auto"/>
        <w:ind w:right="113"/>
        <w:jc w:val="both"/>
      </w:pPr>
      <w:r>
        <w:rPr>
          <w:spacing w:val="-4"/>
          <w:w w:val="95"/>
        </w:rPr>
        <w:t>行后一般循环水泵不得停止工作，若停用，应当建立并采用特殊</w:t>
      </w:r>
      <w:r>
        <w:rPr>
          <w:spacing w:val="134"/>
          <w:w w:val="95"/>
        </w:rPr>
        <w:t xml:space="preserve"> </w:t>
      </w:r>
      <w:r>
        <w:rPr>
          <w:spacing w:val="7"/>
        </w:rPr>
        <w:t>标准操作规程在正式生产前开启系统并进行一定周期的水质监</w:t>
      </w:r>
      <w:r>
        <w:rPr>
          <w:w w:val="99"/>
        </w:rPr>
        <w:t xml:space="preserve"> </w:t>
      </w:r>
      <w:r>
        <w:t>测，关注停机后的应对措施是否科学、合理，并经过确认。</w:t>
      </w:r>
    </w:p>
    <w:p w14:paraId="747BB116">
      <w:pPr>
        <w:pStyle w:val="2"/>
        <w:spacing w:before="34" w:line="31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检查企业是否定期对注射用水系统管路红锈/铁锈/元素杂</w:t>
      </w:r>
      <w:r>
        <w:rPr>
          <w:w w:val="99"/>
        </w:rPr>
        <w:t xml:space="preserve"> </w:t>
      </w:r>
      <w:r>
        <w:rPr>
          <w:spacing w:val="-4"/>
          <w:w w:val="95"/>
        </w:rPr>
        <w:t>质等情况进行检查，如在管路上评估选择不同的点位，参考相关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指南对管道内壁污染情况进行分级或分类，是否依据风险必要时</w:t>
      </w:r>
      <w:r>
        <w:rPr>
          <w:spacing w:val="136"/>
          <w:w w:val="95"/>
        </w:rPr>
        <w:t xml:space="preserve"> </w:t>
      </w:r>
      <w:r>
        <w:t>开展除红锈/铁锈/元素杂质、钝化等操作。</w:t>
      </w:r>
    </w:p>
    <w:p w14:paraId="64796903">
      <w:pPr>
        <w:pStyle w:val="2"/>
        <w:spacing w:before="41" w:line="30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检查是否采取了预防红锈生成的相关措施，如采取合适的</w:t>
      </w:r>
      <w:r>
        <w:rPr>
          <w:w w:val="99"/>
        </w:rPr>
        <w:t xml:space="preserve"> </w:t>
      </w:r>
      <w:r>
        <w:t>温度运行（如</w:t>
      </w:r>
      <w:r>
        <w:rPr>
          <w:spacing w:val="-77"/>
        </w:rPr>
        <w:t xml:space="preserve"> </w:t>
      </w:r>
      <w:r>
        <w:rPr>
          <w:rFonts w:ascii="Times New Roman" w:hAnsi="Times New Roman" w:eastAsia="Times New Roman" w:cs="Times New Roman"/>
        </w:rPr>
        <w:t>70-80</w:t>
      </w:r>
      <w:r>
        <w:rPr>
          <w:rFonts w:ascii="宋体" w:hAnsi="宋体" w:eastAsia="宋体" w:cs="宋体"/>
        </w:rPr>
        <w:t>℃</w:t>
      </w:r>
      <w:r>
        <w:t>），制定合理的污染控制策略和预防性维</w:t>
      </w:r>
      <w:r>
        <w:rPr>
          <w:w w:val="99"/>
        </w:rPr>
        <w:t xml:space="preserve"> </w:t>
      </w:r>
      <w:r>
        <w:t>护措施，或安装在线监测仪器等。</w:t>
      </w:r>
    </w:p>
    <w:p w14:paraId="3955D18F">
      <w:pPr>
        <w:pStyle w:val="2"/>
        <w:spacing w:before="54" w:line="312" w:lineRule="auto"/>
        <w:ind w:right="111" w:firstLine="640"/>
        <w:jc w:val="both"/>
      </w:pPr>
      <w:r>
        <w:rPr>
          <w:spacing w:val="4"/>
          <w:w w:val="95"/>
        </w:rPr>
        <w:t>注射用水系统数据可靠性、偏差、变更、</w:t>
      </w:r>
      <w:r>
        <w:rPr>
          <w:rFonts w:ascii="Times New Roman" w:hAnsi="Times New Roman" w:eastAsia="Times New Roman" w:cs="Times New Roman"/>
          <w:spacing w:val="4"/>
          <w:w w:val="95"/>
        </w:rPr>
        <w:t>OOS/OOT</w:t>
      </w:r>
      <w:r>
        <w:rPr>
          <w:spacing w:val="4"/>
          <w:w w:val="95"/>
        </w:rPr>
        <w:t>、纠正</w:t>
      </w:r>
      <w:r>
        <w:rPr>
          <w:w w:val="99"/>
        </w:rPr>
        <w:t xml:space="preserve"> </w:t>
      </w:r>
      <w:r>
        <w:rPr>
          <w:spacing w:val="-4"/>
          <w:w w:val="95"/>
        </w:rPr>
        <w:t>和预防措施、回顾分析等要求与纯化水系统类似，可参考上文纯</w:t>
      </w:r>
      <w:r>
        <w:rPr>
          <w:spacing w:val="136"/>
          <w:w w:val="95"/>
        </w:rPr>
        <w:t xml:space="preserve"> </w:t>
      </w:r>
      <w:r>
        <w:t>化水系统现场检查要点部分内容。</w:t>
      </w:r>
    </w:p>
    <w:p w14:paraId="2FBCCFD0">
      <w:pPr>
        <w:pStyle w:val="2"/>
        <w:spacing w:before="44" w:line="321" w:lineRule="auto"/>
        <w:ind w:left="747" w:right="0"/>
        <w:jc w:val="left"/>
      </w:pPr>
      <w:bookmarkStart w:id="74" w:name="_bookmark24"/>
      <w:bookmarkEnd w:id="74"/>
      <w:bookmarkStart w:id="75" w:name="3.水质监测方面"/>
      <w:bookmarkEnd w:id="75"/>
      <w:r>
        <w:t>3.水质监测方面</w:t>
      </w:r>
      <w:r>
        <w:rPr>
          <w:w w:val="99"/>
        </w:rPr>
        <w:t xml:space="preserve"> </w:t>
      </w:r>
      <w:r>
        <w:rPr>
          <w:spacing w:val="-4"/>
          <w:w w:val="95"/>
        </w:rPr>
        <w:t>应当制定注射用水检验规程，明确检验项目、方法和检验周</w:t>
      </w:r>
    </w:p>
    <w:p w14:paraId="58258B93">
      <w:pPr>
        <w:pStyle w:val="2"/>
        <w:spacing w:before="34" w:line="321" w:lineRule="auto"/>
        <w:ind w:right="113"/>
        <w:jc w:val="both"/>
      </w:pPr>
      <w:r>
        <w:rPr>
          <w:spacing w:val="-4"/>
          <w:w w:val="95"/>
        </w:rPr>
        <w:t>期，按照法规及相关标准要求对注射用水进行定期检验。应当对</w:t>
      </w:r>
      <w:r>
        <w:rPr>
          <w:spacing w:val="134"/>
          <w:w w:val="95"/>
        </w:rPr>
        <w:t xml:space="preserve"> </w:t>
      </w:r>
      <w:r>
        <w:t>以下内容重点关注：</w:t>
      </w:r>
    </w:p>
    <w:p w14:paraId="71874AB2">
      <w:pPr>
        <w:pStyle w:val="2"/>
        <w:spacing w:line="314" w:lineRule="auto"/>
        <w:ind w:right="11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检查注射用水的监测计划，是否定期进行持续的化学、微</w:t>
      </w:r>
      <w:r>
        <w:rPr>
          <w:w w:val="99"/>
        </w:rPr>
        <w:t xml:space="preserve"> </w:t>
      </w:r>
      <w:r>
        <w:rPr>
          <w:spacing w:val="-4"/>
          <w:w w:val="95"/>
        </w:rPr>
        <w:t>生物及细菌内毒素的监测，以确保水质持续符合药典要求。关注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日常监测以及周期监测的项目、监测周期、监测点位，是否基于</w:t>
      </w:r>
      <w:r>
        <w:rPr>
          <w:spacing w:val="132"/>
          <w:w w:val="95"/>
        </w:rPr>
        <w:t xml:space="preserve"> </w:t>
      </w:r>
      <w:r>
        <w:t>风险评估制定合理的监测计划。</w:t>
      </w:r>
    </w:p>
    <w:p w14:paraId="37E4BFB9">
      <w:pPr>
        <w:spacing w:after="0" w:line="314" w:lineRule="auto"/>
        <w:jc w:val="both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4F722753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5136D45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62501E58">
      <w:pPr>
        <w:pStyle w:val="2"/>
        <w:spacing w:before="0" w:line="316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取样计划应当反映污染控制策略的要求，结合确认数据和</w:t>
      </w:r>
      <w:r>
        <w:rPr>
          <w:w w:val="99"/>
        </w:rPr>
        <w:t xml:space="preserve"> </w:t>
      </w:r>
      <w:r>
        <w:rPr>
          <w:spacing w:val="-9"/>
          <w:w w:val="95"/>
        </w:rPr>
        <w:t>历史趋势，应当涵盖关键控制点、所有使用点，并规定时间间隔，</w:t>
      </w:r>
      <w:r>
        <w:rPr>
          <w:spacing w:val="2"/>
          <w:w w:val="95"/>
        </w:rPr>
        <w:t xml:space="preserve"> </w:t>
      </w:r>
      <w:r>
        <w:rPr>
          <w:spacing w:val="-4"/>
        </w:rPr>
        <w:t>以确保定期获取有代表性的水样用于分析。取样计划应当基于确</w:t>
      </w:r>
      <w:r>
        <w:rPr>
          <w:w w:val="99"/>
        </w:rPr>
        <w:t xml:space="preserve"> </w:t>
      </w:r>
      <w:r>
        <w:rPr>
          <w:spacing w:val="-4"/>
        </w:rPr>
        <w:t>认数据制定，考虑潜在最差条件取样点，应当确保生产期间每天</w:t>
      </w:r>
      <w:r>
        <w:rPr>
          <w:w w:val="99"/>
        </w:rPr>
        <w:t xml:space="preserve"> </w:t>
      </w:r>
      <w:r>
        <w:t>至少选取一个有代表性的使用点进行取样检测。</w:t>
      </w:r>
    </w:p>
    <w:p w14:paraId="4C9A97A4">
      <w:pPr>
        <w:pStyle w:val="2"/>
        <w:spacing w:before="38" w:line="31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检查取样的操作及样品的处理程序。应当从使用点或专用</w:t>
      </w:r>
      <w:r>
        <w:rPr>
          <w:w w:val="99"/>
        </w:rPr>
        <w:t xml:space="preserve"> </w:t>
      </w:r>
      <w:r>
        <w:rPr>
          <w:spacing w:val="-4"/>
        </w:rPr>
        <w:t>取样点采集离线样品。所有水样均应当使用生产程序中规定的相</w:t>
      </w:r>
      <w:r>
        <w:rPr>
          <w:w w:val="99"/>
        </w:rPr>
        <w:t xml:space="preserve"> </w:t>
      </w:r>
      <w:r>
        <w:rPr>
          <w:spacing w:val="-9"/>
          <w:w w:val="95"/>
        </w:rPr>
        <w:t>同方法采集，例如有些生产程序中规定了淋洗和排水程序。同时，</w:t>
      </w:r>
      <w:r>
        <w:rPr>
          <w:spacing w:val="1"/>
          <w:w w:val="95"/>
        </w:rPr>
        <w:t xml:space="preserve"> </w:t>
      </w:r>
      <w:r>
        <w:rPr>
          <w:spacing w:val="-4"/>
        </w:rPr>
        <w:t>取样操作也应当避免额外污染样品。所取的样品如果不能立即处</w:t>
      </w:r>
      <w:r>
        <w:rPr>
          <w:w w:val="99"/>
        </w:rPr>
        <w:t xml:space="preserve"> </w:t>
      </w:r>
      <w:r>
        <w:rPr>
          <w:spacing w:val="-4"/>
        </w:rPr>
        <w:t>理，应当存放在设定温度下，在规定时间内检测。样品存放的时</w:t>
      </w:r>
      <w:r>
        <w:rPr>
          <w:w w:val="99"/>
        </w:rPr>
        <w:t xml:space="preserve"> </w:t>
      </w:r>
      <w:r>
        <w:rPr>
          <w:spacing w:val="4"/>
        </w:rPr>
        <w:t>间和条件应当参考《中华人民共和国药典》（</w:t>
      </w:r>
      <w:r>
        <w:rPr>
          <w:rFonts w:ascii="Times New Roman" w:hAnsi="Times New Roman" w:eastAsia="Times New Roman" w:cs="Times New Roman"/>
          <w:spacing w:val="4"/>
        </w:rPr>
        <w:t>2025</w:t>
      </w:r>
      <w:r>
        <w:rPr>
          <w:rFonts w:ascii="Times New Roman" w:hAnsi="Times New Roman" w:eastAsia="Times New Roman" w:cs="Times New Roman"/>
          <w:spacing w:val="3"/>
        </w:rPr>
        <w:t xml:space="preserve"> </w:t>
      </w:r>
      <w:r>
        <w:rPr>
          <w:spacing w:val="4"/>
        </w:rPr>
        <w:t>年版）四部</w:t>
      </w:r>
      <w:r>
        <w:rPr>
          <w:w w:val="99"/>
        </w:rPr>
        <w:t xml:space="preserve"> </w:t>
      </w:r>
      <w:r>
        <w:t>规定或通过评估确定，并在取样流程中明确。</w:t>
      </w:r>
    </w:p>
    <w:p w14:paraId="76556C9F">
      <w:pPr>
        <w:pStyle w:val="2"/>
        <w:spacing w:before="43" w:line="304" w:lineRule="auto"/>
        <w:ind w:right="0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在制水岗位现场对日常监测相关情况进行查看，包括现场</w:t>
      </w:r>
      <w:r>
        <w:rPr>
          <w:w w:val="99"/>
        </w:rPr>
        <w:t xml:space="preserve"> </w:t>
      </w:r>
      <w:r>
        <w:t>的仪器、试液的使用，人员的培训实操情况。</w:t>
      </w:r>
    </w:p>
    <w:p w14:paraId="61662554">
      <w:pPr>
        <w:pStyle w:val="2"/>
        <w:spacing w:before="54" w:line="309" w:lineRule="auto"/>
        <w:ind w:right="0" w:firstLine="640"/>
        <w:jc w:val="left"/>
      </w:pPr>
      <w:r>
        <w:rPr>
          <w:rFonts w:ascii="Wingdings" w:hAnsi="Wingdings" w:eastAsia="Wingdings" w:cs="Wingdings"/>
        </w:rPr>
        <w:t></w:t>
      </w:r>
      <w:r>
        <w:t>检查企业是否根据风险选择注射用水系统的连续监测项目，</w:t>
      </w:r>
      <w:r>
        <w:rPr>
          <w:w w:val="99"/>
        </w:rPr>
        <w:t xml:space="preserve"> </w:t>
      </w:r>
      <w:r>
        <w:t>如流量/流速、压力、温度、电导率和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TOC</w:t>
      </w:r>
      <w:r>
        <w:t>，传感器的安装位置</w:t>
      </w:r>
      <w:r>
        <w:rPr>
          <w:w w:val="99"/>
        </w:rPr>
        <w:t xml:space="preserve"> </w:t>
      </w:r>
      <w:r>
        <w:rPr>
          <w:spacing w:val="-4"/>
        </w:rPr>
        <w:t>应当基于风险评估，关注在线监测趋势情况，关注部分在线监测</w:t>
      </w:r>
      <w:r>
        <w:rPr>
          <w:w w:val="99"/>
        </w:rPr>
        <w:t xml:space="preserve"> </w:t>
      </w:r>
      <w:r>
        <w:t>项目与离线监测数据的趋势一致性。</w:t>
      </w:r>
    </w:p>
    <w:p w14:paraId="4A813B91">
      <w:pPr>
        <w:pStyle w:val="2"/>
        <w:spacing w:before="50" w:line="312" w:lineRule="auto"/>
        <w:ind w:right="37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检查制定的警戒限、纠偏限，初始的限度是否基于初始确</w:t>
      </w:r>
      <w:r>
        <w:rPr>
          <w:w w:val="99"/>
        </w:rPr>
        <w:t xml:space="preserve"> </w:t>
      </w:r>
      <w:r>
        <w:rPr>
          <w:spacing w:val="-4"/>
          <w:w w:val="95"/>
        </w:rPr>
        <w:t>认数据评估得来，后期是否根据系统的再确认、日常监测的趋势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分析评估得来。检查企业是否基于风险制定微生物监测计划，持</w:t>
      </w:r>
    </w:p>
    <w:p w14:paraId="011E16AC">
      <w:pPr>
        <w:spacing w:after="0" w:line="312" w:lineRule="auto"/>
        <w:jc w:val="both"/>
        <w:sectPr>
          <w:pgSz w:w="11910" w:h="16840"/>
          <w:pgMar w:top="1580" w:right="1100" w:bottom="2480" w:left="1480" w:header="0" w:footer="2285" w:gutter="0"/>
          <w:cols w:space="720" w:num="1"/>
        </w:sectPr>
      </w:pPr>
    </w:p>
    <w:p w14:paraId="5CC97891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51B59953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21A02B4">
      <w:pPr>
        <w:pStyle w:val="2"/>
        <w:spacing w:before="0" w:line="321" w:lineRule="auto"/>
        <w:ind w:right="273"/>
        <w:jc w:val="both"/>
      </w:pPr>
      <w:r>
        <w:rPr>
          <w:spacing w:val="-4"/>
          <w:w w:val="95"/>
        </w:rPr>
        <w:t>续监控注射用水系统中的微生物数量和种类。是否基于风险对分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离的微生物进行适当鉴定，以识别可能对工艺或产品构成威胁的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微生物。当监测结果异常或超出限度时，应当进行偏差或异常评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估、调查并采取必要的纠正预防措施。鼓励企业应用经验证、可</w:t>
      </w:r>
      <w:r>
        <w:rPr>
          <w:spacing w:val="133"/>
          <w:w w:val="95"/>
        </w:rPr>
        <w:t xml:space="preserve"> </w:t>
      </w:r>
      <w:r>
        <w:t>替代的快速微生物检测技术。</w:t>
      </w:r>
    </w:p>
    <w:p w14:paraId="60320254">
      <w:pPr>
        <w:pStyle w:val="2"/>
        <w:spacing w:line="321" w:lineRule="auto"/>
        <w:ind w:left="747" w:right="0"/>
        <w:jc w:val="left"/>
      </w:pPr>
      <w:bookmarkStart w:id="76" w:name="_bookmark25"/>
      <w:bookmarkEnd w:id="76"/>
      <w:bookmarkStart w:id="77" w:name="4.非蒸馏法制备注射用水检查要点"/>
      <w:bookmarkEnd w:id="77"/>
      <w:r>
        <w:t>4.非蒸馏法制备注射用水检查要点</w:t>
      </w:r>
      <w:r>
        <w:rPr>
          <w:w w:val="99"/>
        </w:rPr>
        <w:t xml:space="preserve"> </w:t>
      </w:r>
      <w:r>
        <w:rPr>
          <w:spacing w:val="-4"/>
          <w:w w:val="95"/>
        </w:rPr>
        <w:t>对于非蒸馏法制备注射用水，企业应当进行谨慎评估，除上</w:t>
      </w:r>
    </w:p>
    <w:p w14:paraId="46840260">
      <w:pPr>
        <w:pStyle w:val="2"/>
        <w:spacing w:line="321" w:lineRule="auto"/>
        <w:ind w:right="273"/>
        <w:jc w:val="both"/>
      </w:pPr>
      <w:r>
        <w:rPr>
          <w:spacing w:val="-4"/>
          <w:w w:val="95"/>
        </w:rPr>
        <w:t>文注射用水系统确认、日常运行与维护保养、水质监测方面的检</w:t>
      </w:r>
      <w:r>
        <w:rPr>
          <w:spacing w:val="134"/>
          <w:w w:val="95"/>
        </w:rPr>
        <w:t xml:space="preserve"> </w:t>
      </w:r>
      <w:r>
        <w:t>查要点可参考执行外，还需对以下内容重点关注：</w:t>
      </w:r>
    </w:p>
    <w:p w14:paraId="53B31AA1">
      <w:pPr>
        <w:pStyle w:val="2"/>
        <w:spacing w:before="34" w:line="321" w:lineRule="auto"/>
        <w:ind w:right="0" w:firstLine="640"/>
        <w:jc w:val="left"/>
      </w:pPr>
      <w:bookmarkStart w:id="78" w:name="（1）检查证明所用非蒸馏法等同于蒸馏法的评估及确认相关文件，重点关注非蒸馏法制备"/>
      <w:bookmarkEnd w:id="78"/>
      <w:r>
        <w:rPr>
          <w:spacing w:val="2"/>
        </w:rPr>
        <w:t>（1）检查证明所用非蒸馏法等同于蒸馏法的评估及确认相</w:t>
      </w:r>
      <w:r>
        <w:rPr>
          <w:w w:val="99"/>
        </w:rPr>
        <w:t xml:space="preserve"> </w:t>
      </w:r>
      <w:r>
        <w:rPr>
          <w:spacing w:val="-9"/>
          <w:w w:val="95"/>
        </w:rPr>
        <w:t>关文件，重点关注非蒸馏法制备注射用水的微生物、内毒素水平，</w:t>
      </w:r>
      <w:r>
        <w:rPr>
          <w:spacing w:val="1"/>
          <w:w w:val="95"/>
        </w:rPr>
        <w:t xml:space="preserve"> </w:t>
      </w:r>
      <w:r>
        <w:t>以及是否有定量数据的比较。</w:t>
      </w:r>
    </w:p>
    <w:p w14:paraId="1EABE3F0">
      <w:pPr>
        <w:pStyle w:val="2"/>
        <w:spacing w:before="34" w:line="240" w:lineRule="auto"/>
        <w:ind w:left="747" w:right="0"/>
        <w:jc w:val="left"/>
      </w:pPr>
      <w:bookmarkStart w:id="79" w:name="（2）检查是否对膜组件部分进水质量进行监控。"/>
      <w:bookmarkEnd w:id="79"/>
      <w:r>
        <w:t>（2）检查是否对膜组件部分进水质量进行监控。</w:t>
      </w:r>
    </w:p>
    <w:p w14:paraId="05B9862D">
      <w:pPr>
        <w:pStyle w:val="2"/>
        <w:spacing w:before="140" w:line="321" w:lineRule="auto"/>
        <w:ind w:right="114" w:firstLine="640"/>
        <w:jc w:val="both"/>
      </w:pPr>
      <w:bookmarkStart w:id="80" w:name="（3）检查膜组件的选择及管理，膜材质是否符合消毒工艺的确认要求，是否设计了对膜组"/>
      <w:bookmarkEnd w:id="80"/>
      <w:r>
        <w:rPr>
          <w:spacing w:val="2"/>
        </w:rPr>
        <w:t>（3）检查膜组件的选择及管理，膜材质是否符合消毒工艺</w:t>
      </w:r>
      <w:r>
        <w:rPr>
          <w:w w:val="99"/>
        </w:rPr>
        <w:t xml:space="preserve"> </w:t>
      </w:r>
      <w:r>
        <w:rPr>
          <w:spacing w:val="-4"/>
        </w:rPr>
        <w:t>的确认要求，是否设计了对膜组件进行日常检查的系统，以检出</w:t>
      </w:r>
      <w:r>
        <w:rPr>
          <w:w w:val="99"/>
        </w:rPr>
        <w:t xml:space="preserve"> </w:t>
      </w:r>
      <w:r>
        <w:rPr>
          <w:spacing w:val="-4"/>
        </w:rPr>
        <w:t>可能导致严重污染事件的膜完整性问题，例如，通过在线电导率</w:t>
      </w:r>
      <w:r>
        <w:rPr>
          <w:w w:val="99"/>
        </w:rPr>
        <w:t xml:space="preserve"> </w:t>
      </w:r>
      <w:r>
        <w:rPr>
          <w:spacing w:val="-4"/>
        </w:rPr>
        <w:t>监测和膜压差监测，是否进行定期完整性测试，是否规定了膜组</w:t>
      </w:r>
      <w:r>
        <w:rPr>
          <w:w w:val="99"/>
        </w:rPr>
        <w:t xml:space="preserve"> </w:t>
      </w:r>
      <w:r>
        <w:rPr>
          <w:spacing w:val="-9"/>
          <w:w w:val="95"/>
        </w:rPr>
        <w:t>件的最长使用时间。如选择单级反渗透工艺，应当进行风险评估。</w:t>
      </w:r>
    </w:p>
    <w:p w14:paraId="2C20F057">
      <w:pPr>
        <w:pStyle w:val="2"/>
        <w:spacing w:before="34" w:line="312" w:lineRule="auto"/>
        <w:ind w:right="271" w:firstLine="640"/>
        <w:jc w:val="both"/>
      </w:pPr>
      <w:bookmarkStart w:id="81" w:name="（4）检查在线监测设备的配置，如在线TOC分析仪、在线电导率仪，是否通过风险评估"/>
      <w:bookmarkEnd w:id="81"/>
      <w:r>
        <w:rPr>
          <w:spacing w:val="-4"/>
        </w:rPr>
        <w:t>（4）检查在线监测设备的配置，如在线</w:t>
      </w:r>
      <w:r>
        <w:rPr>
          <w:spacing w:val="-88"/>
        </w:rPr>
        <w:t xml:space="preserve"> </w:t>
      </w:r>
      <w:r>
        <w:rPr>
          <w:rFonts w:ascii="Times New Roman" w:hAnsi="Times New Roman" w:eastAsia="Times New Roman" w:cs="Times New Roman"/>
        </w:rPr>
        <w:t>TOC</w:t>
      </w:r>
      <w:r>
        <w:rPr>
          <w:rFonts w:ascii="Times New Roman" w:hAnsi="Times New Roman" w:eastAsia="Times New Roman" w:cs="Times New Roman"/>
          <w:spacing w:val="-9"/>
        </w:rPr>
        <w:t xml:space="preserve"> </w:t>
      </w:r>
      <w:r>
        <w:rPr>
          <w:spacing w:val="-6"/>
        </w:rPr>
        <w:t>分析仪、在线</w:t>
      </w:r>
      <w:r>
        <w:rPr>
          <w:w w:val="99"/>
        </w:rPr>
        <w:t xml:space="preserve"> </w:t>
      </w:r>
      <w:r>
        <w:rPr>
          <w:spacing w:val="-4"/>
          <w:w w:val="95"/>
        </w:rPr>
        <w:t>电导率仪，是否通过风险评估来确定在线监测点位，应当考虑的</w:t>
      </w:r>
      <w:r>
        <w:rPr>
          <w:spacing w:val="136"/>
          <w:w w:val="95"/>
        </w:rPr>
        <w:t xml:space="preserve"> </w:t>
      </w:r>
      <w:r>
        <w:t>位置至少包括系统进水、预处理下游、</w:t>
      </w:r>
      <w:r>
        <w:rPr>
          <w:rFonts w:ascii="Times New Roman" w:hAnsi="Times New Roman" w:eastAsia="Times New Roman" w:cs="Times New Roman"/>
        </w:rPr>
        <w:t>RO</w:t>
      </w:r>
      <w:r>
        <w:rPr>
          <w:rFonts w:ascii="Times New Roman" w:hAnsi="Times New Roman" w:eastAsia="Times New Roman" w:cs="Times New Roman"/>
          <w:spacing w:val="-10"/>
        </w:rPr>
        <w:t xml:space="preserve"> </w:t>
      </w:r>
      <w:r>
        <w:t>膜出水以及最终出水</w:t>
      </w:r>
    </w:p>
    <w:p w14:paraId="51E9F332">
      <w:pPr>
        <w:spacing w:after="0" w:line="312" w:lineRule="auto"/>
        <w:jc w:val="both"/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367A0FCC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3AABB9E1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14DD6043">
      <w:pPr>
        <w:pStyle w:val="2"/>
        <w:spacing w:before="0" w:line="240" w:lineRule="auto"/>
        <w:ind w:right="0"/>
        <w:jc w:val="left"/>
      </w:pPr>
      <w:r>
        <w:t>等点位。</w:t>
      </w:r>
    </w:p>
    <w:p w14:paraId="26191F59">
      <w:pPr>
        <w:pStyle w:val="2"/>
        <w:spacing w:before="140" w:line="321" w:lineRule="auto"/>
        <w:ind w:right="0" w:firstLine="640"/>
        <w:jc w:val="left"/>
      </w:pPr>
      <w:bookmarkStart w:id="82" w:name="（5）非蒸馏法设备的部件应当定期进行清洗与消毒，清洗、消毒频次应当根据质量风险管"/>
      <w:bookmarkEnd w:id="82"/>
      <w:r>
        <w:rPr>
          <w:spacing w:val="-4"/>
          <w:w w:val="95"/>
        </w:rPr>
        <w:t>（5）非蒸馏法设备的部件应当定期进行清洗与消毒，清洗、</w:t>
      </w:r>
      <w:r>
        <w:rPr>
          <w:w w:val="99"/>
        </w:rPr>
        <w:t xml:space="preserve"> </w:t>
      </w:r>
      <w:r>
        <w:rPr>
          <w:spacing w:val="7"/>
        </w:rPr>
        <w:t>消毒频次应当根据质量风险管理原则和在系统确认期间收集的</w:t>
      </w:r>
      <w:r>
        <w:rPr>
          <w:w w:val="99"/>
        </w:rPr>
        <w:t xml:space="preserve"> </w:t>
      </w:r>
      <w:r>
        <w:t>数据来确定。</w:t>
      </w:r>
    </w:p>
    <w:p w14:paraId="36FA7378">
      <w:pPr>
        <w:pStyle w:val="2"/>
        <w:spacing w:line="321" w:lineRule="auto"/>
        <w:ind w:right="0" w:firstLine="640"/>
        <w:jc w:val="left"/>
      </w:pPr>
      <w:bookmarkStart w:id="83" w:name="（6）对于常温或低温储存/分配系统，应当至少考虑采用组合消毒方法，如定期使用热力"/>
      <w:bookmarkEnd w:id="83"/>
      <w:r>
        <w:rPr>
          <w:spacing w:val="-4"/>
        </w:rPr>
        <w:t>（6）对于常温或低温储存/分配系统，应当至少考虑采用组</w:t>
      </w:r>
      <w:r>
        <w:rPr>
          <w:w w:val="99"/>
        </w:rPr>
        <w:t xml:space="preserve"> </w:t>
      </w:r>
      <w:r>
        <w:rPr>
          <w:spacing w:val="-9"/>
          <w:w w:val="95"/>
        </w:rPr>
        <w:t>合消毒方法，如定期使用热力学消毒和化学消毒，对于化学消毒，</w:t>
      </w:r>
      <w:r>
        <w:rPr>
          <w:spacing w:val="1"/>
          <w:w w:val="95"/>
        </w:rPr>
        <w:t xml:space="preserve"> </w:t>
      </w:r>
      <w:r>
        <w:rPr>
          <w:spacing w:val="-4"/>
        </w:rPr>
        <w:t>应当考虑化学物质的残留，如采用连续臭氧消毒系统，该情况下</w:t>
      </w:r>
      <w:r>
        <w:rPr>
          <w:w w:val="99"/>
        </w:rPr>
        <w:t xml:space="preserve"> </w:t>
      </w:r>
      <w:r>
        <w:rPr>
          <w:spacing w:val="-4"/>
        </w:rPr>
        <w:t>应当对系统内臭氧浓度进行监测，并采取相应的臭氧浓度控制措</w:t>
      </w:r>
      <w:r>
        <w:rPr>
          <w:w w:val="99"/>
        </w:rPr>
        <w:t xml:space="preserve"> </w:t>
      </w:r>
      <w:r>
        <w:t>施。</w:t>
      </w:r>
    </w:p>
    <w:p w14:paraId="4D4C6CFB">
      <w:pPr>
        <w:pStyle w:val="2"/>
        <w:spacing w:before="34" w:line="321" w:lineRule="auto"/>
        <w:ind w:right="271" w:firstLine="640"/>
        <w:jc w:val="both"/>
      </w:pPr>
      <w:bookmarkStart w:id="84" w:name="（7）非蒸馏法有着更高的微生物污染风险，应当使用在线或离线快速微生物检测方法作为"/>
      <w:bookmarkEnd w:id="84"/>
      <w:r>
        <w:rPr>
          <w:spacing w:val="2"/>
          <w:w w:val="95"/>
        </w:rPr>
        <w:t>（7）非蒸馏法有着更高的微生物污染风险，应当使用在线</w:t>
      </w:r>
      <w:r>
        <w:rPr>
          <w:w w:val="99"/>
        </w:rPr>
        <w:t xml:space="preserve"> </w:t>
      </w:r>
      <w:r>
        <w:rPr>
          <w:spacing w:val="-4"/>
          <w:w w:val="95"/>
        </w:rPr>
        <w:t>或离线快速微生物检测方法作为控制策略，以能够针对系统污染</w:t>
      </w:r>
      <w:r>
        <w:rPr>
          <w:spacing w:val="136"/>
          <w:w w:val="95"/>
        </w:rPr>
        <w:t xml:space="preserve"> </w:t>
      </w:r>
      <w:r>
        <w:t>迅速做出反应。</w:t>
      </w:r>
    </w:p>
    <w:p w14:paraId="30EC159C">
      <w:pPr>
        <w:pStyle w:val="2"/>
        <w:spacing w:before="34" w:line="321" w:lineRule="auto"/>
        <w:ind w:right="0" w:firstLine="640"/>
        <w:jc w:val="left"/>
      </w:pPr>
      <w:bookmarkStart w:id="85" w:name="（8）检查非蒸馏法制备系统的污染控制策略与预防性维护计划，一般包括前处理系统的再"/>
      <w:bookmarkEnd w:id="85"/>
      <w:r>
        <w:rPr>
          <w:spacing w:val="2"/>
        </w:rPr>
        <w:t>（8）检查非蒸馏法制备系统的污染控制策略与预防性维护</w:t>
      </w:r>
      <w:r>
        <w:rPr>
          <w:w w:val="99"/>
        </w:rPr>
        <w:t xml:space="preserve"> </w:t>
      </w:r>
      <w:r>
        <w:rPr>
          <w:spacing w:val="-9"/>
          <w:w w:val="95"/>
        </w:rPr>
        <w:t>计划，一般包括前处理系统的再生、树脂的补充、过滤器的更换、</w:t>
      </w:r>
      <w:r>
        <w:rPr>
          <w:spacing w:val="2"/>
          <w:w w:val="95"/>
        </w:rPr>
        <w:t xml:space="preserve"> </w:t>
      </w:r>
      <w:r>
        <w:t>垫圈/密封的更换、膜组件的更换等。</w:t>
      </w:r>
    </w:p>
    <w:p w14:paraId="79AA740B">
      <w:pPr>
        <w:pStyle w:val="2"/>
        <w:spacing w:before="34" w:line="321" w:lineRule="auto"/>
        <w:ind w:right="273" w:firstLine="640"/>
        <w:jc w:val="both"/>
      </w:pPr>
      <w:r>
        <w:rPr>
          <w:spacing w:val="8"/>
        </w:rPr>
        <w:t>以上非蒸馏法制备注射用水的检查要点的撰写基于当前认</w:t>
      </w:r>
      <w:r>
        <w:rPr>
          <w:w w:val="99"/>
        </w:rPr>
        <w:t xml:space="preserve"> </w:t>
      </w:r>
      <w:r>
        <w:rPr>
          <w:spacing w:val="-4"/>
          <w:w w:val="95"/>
        </w:rPr>
        <w:t>知，在非蒸馏法制备注射用水的实践中应当不限于以上条款，生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产企业应当遵循质量管理生命周期原则，依据质量风险评估确定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风险控制措施并不断完善，确保注射用水质量能够满足药典等国</w:t>
      </w:r>
      <w:r>
        <w:rPr>
          <w:spacing w:val="134"/>
          <w:w w:val="95"/>
        </w:rPr>
        <w:t xml:space="preserve"> </w:t>
      </w:r>
      <w:r>
        <w:t>家标准及法规要求，符合药品生产工艺需求。</w:t>
      </w:r>
    </w:p>
    <w:p w14:paraId="4D7FB0AF">
      <w:pPr>
        <w:pStyle w:val="2"/>
        <w:spacing w:line="240" w:lineRule="auto"/>
        <w:ind w:left="747" w:right="0"/>
        <w:jc w:val="left"/>
        <w:rPr>
          <w:rFonts w:ascii="黑体" w:hAnsi="黑体" w:eastAsia="黑体" w:cs="黑体"/>
        </w:rPr>
      </w:pPr>
      <w:bookmarkStart w:id="86" w:name="_bookmark26"/>
      <w:bookmarkEnd w:id="86"/>
      <w:bookmarkStart w:id="87" w:name="八、纯蒸汽检查要点"/>
      <w:bookmarkEnd w:id="87"/>
      <w:r>
        <w:rPr>
          <w:rFonts w:ascii="黑体" w:hAnsi="黑体" w:eastAsia="黑体" w:cs="黑体"/>
        </w:rPr>
        <w:t>八、纯蒸汽检查要点</w:t>
      </w:r>
    </w:p>
    <w:p w14:paraId="47C19940">
      <w:pPr>
        <w:spacing w:after="0" w:line="240" w:lineRule="auto"/>
        <w:jc w:val="left"/>
        <w:rPr>
          <w:rFonts w:ascii="黑体" w:hAnsi="黑体" w:eastAsia="黑体" w:cs="黑体"/>
        </w:rPr>
        <w:sectPr>
          <w:pgSz w:w="11910" w:h="16840"/>
          <w:pgMar w:top="1580" w:right="1200" w:bottom="2480" w:left="1480" w:header="0" w:footer="2285" w:gutter="0"/>
          <w:cols w:space="720" w:num="1"/>
        </w:sectPr>
      </w:pPr>
    </w:p>
    <w:p w14:paraId="37793DF6">
      <w:pPr>
        <w:spacing w:before="0" w:line="240" w:lineRule="auto"/>
        <w:rPr>
          <w:rFonts w:ascii="黑体" w:hAnsi="黑体" w:eastAsia="黑体" w:cs="黑体"/>
          <w:sz w:val="20"/>
          <w:szCs w:val="20"/>
        </w:rPr>
      </w:pPr>
    </w:p>
    <w:p w14:paraId="17E3E860">
      <w:pPr>
        <w:spacing w:before="13" w:line="240" w:lineRule="auto"/>
        <w:rPr>
          <w:rFonts w:ascii="黑体" w:hAnsi="黑体" w:eastAsia="黑体" w:cs="黑体"/>
          <w:sz w:val="23"/>
          <w:szCs w:val="23"/>
        </w:rPr>
      </w:pPr>
    </w:p>
    <w:p w14:paraId="0D814529">
      <w:pPr>
        <w:pStyle w:val="2"/>
        <w:spacing w:before="0" w:line="321" w:lineRule="auto"/>
        <w:ind w:right="431" w:firstLine="640"/>
        <w:jc w:val="both"/>
      </w:pPr>
      <w:r>
        <w:rPr>
          <w:spacing w:val="-4"/>
          <w:w w:val="95"/>
        </w:rPr>
        <w:t>纯蒸汽（又称洁净蒸汽）属于直接影响蒸汽，由蒸汽发生器</w:t>
      </w:r>
      <w:r>
        <w:rPr>
          <w:w w:val="99"/>
        </w:rPr>
        <w:t xml:space="preserve"> </w:t>
      </w:r>
      <w:r>
        <w:rPr>
          <w:spacing w:val="-4"/>
          <w:w w:val="95"/>
        </w:rPr>
        <w:t>生产而得。纯蒸汽是指化学纯度有特殊要求的饱和蒸汽，不含任</w:t>
      </w:r>
      <w:r>
        <w:rPr>
          <w:spacing w:val="136"/>
          <w:w w:val="95"/>
        </w:rPr>
        <w:t xml:space="preserve"> </w:t>
      </w:r>
      <w:r>
        <w:t>何化学添加剂，主要应用于制药用水系统、生物/发酵反应器、</w:t>
      </w:r>
      <w:r>
        <w:rPr>
          <w:spacing w:val="-133"/>
        </w:rPr>
        <w:t xml:space="preserve"> </w:t>
      </w:r>
      <w:r>
        <w:rPr>
          <w:spacing w:val="-4"/>
          <w:w w:val="95"/>
        </w:rPr>
        <w:t>无菌制剂的配料与管路系统、除菌级过滤器、冻干机等重要设备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与系统的微生物负荷控制。通常以纯化水为原料水，通过纯蒸汽</w:t>
      </w:r>
      <w:r>
        <w:rPr>
          <w:spacing w:val="134"/>
          <w:w w:val="95"/>
        </w:rPr>
        <w:t xml:space="preserve"> </w:t>
      </w:r>
      <w:r>
        <w:rPr>
          <w:spacing w:val="7"/>
        </w:rPr>
        <w:t>发生器或多效蒸馏水机的第一效蒸发器产生的蒸汽转化为纯蒸</w:t>
      </w:r>
      <w:r>
        <w:rPr>
          <w:w w:val="99"/>
        </w:rPr>
        <w:t xml:space="preserve"> </w:t>
      </w:r>
      <w:r>
        <w:rPr>
          <w:spacing w:val="-4"/>
          <w:w w:val="95"/>
        </w:rPr>
        <w:t>汽。纯蒸汽冷凝水应当满足《中华人民共和国药典》注射用水标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准（微生物项目除外），但应当根据纯蒸汽的用途、影响质量的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严重程度及确认要求等因素，增加不凝性气体含量、过热度和干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度值（干度分数）的监测指标，如用于湿热灭菌的纯蒸汽（如湿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热灭菌柜）应当满足干度值（干度分数）、过热度与不凝性气体</w:t>
      </w:r>
      <w:r>
        <w:rPr>
          <w:spacing w:val="135"/>
          <w:w w:val="95"/>
        </w:rPr>
        <w:t xml:space="preserve"> </w:t>
      </w:r>
      <w:r>
        <w:t>含量的相关要求。</w:t>
      </w:r>
    </w:p>
    <w:p w14:paraId="1547C644">
      <w:pPr>
        <w:pStyle w:val="2"/>
        <w:spacing w:before="34" w:line="240" w:lineRule="auto"/>
        <w:ind w:left="747" w:right="112"/>
        <w:jc w:val="left"/>
        <w:rPr>
          <w:rFonts w:ascii="宋体" w:hAnsi="宋体" w:eastAsia="宋体" w:cs="宋体"/>
        </w:rPr>
      </w:pPr>
      <w:bookmarkStart w:id="88" w:name="（一）纯蒸汽制备系统概述"/>
      <w:bookmarkEnd w:id="88"/>
      <w:bookmarkStart w:id="89" w:name="_bookmark27"/>
      <w:bookmarkEnd w:id="89"/>
      <w:r>
        <w:rPr>
          <w:rFonts w:ascii="宋体" w:hAnsi="宋体" w:eastAsia="宋体" w:cs="宋体"/>
        </w:rPr>
        <w:t>（一）纯蒸汽制备系统概述</w:t>
      </w:r>
    </w:p>
    <w:p w14:paraId="6C10BA55">
      <w:pPr>
        <w:pStyle w:val="2"/>
        <w:spacing w:before="140" w:line="321" w:lineRule="auto"/>
        <w:ind w:right="112" w:firstLine="640"/>
        <w:jc w:val="left"/>
      </w:pPr>
      <w:r>
        <w:rPr>
          <w:spacing w:val="-4"/>
          <w:w w:val="95"/>
        </w:rPr>
        <w:t>纯蒸汽发生器是制备纯蒸汽的核心设备，通常由一个蒸发器、</w:t>
      </w:r>
      <w:r>
        <w:rPr>
          <w:w w:val="99"/>
        </w:rPr>
        <w:t xml:space="preserve"> </w:t>
      </w:r>
      <w:r>
        <w:rPr>
          <w:spacing w:val="-9"/>
        </w:rPr>
        <w:t>分离装置、预热器、取样冷却器、阀门、仪表和控制部分等组成，</w:t>
      </w:r>
      <w:r>
        <w:rPr>
          <w:w w:val="99"/>
        </w:rPr>
        <w:t xml:space="preserve"> </w:t>
      </w:r>
      <w:r>
        <w:rPr>
          <w:spacing w:val="-4"/>
        </w:rPr>
        <w:t>多采用工业蒸汽为热源，通过热交换器和蒸发柱进行热量交换并</w:t>
      </w:r>
      <w:r>
        <w:rPr>
          <w:w w:val="99"/>
        </w:rPr>
        <w:t xml:space="preserve"> </w:t>
      </w:r>
      <w:r>
        <w:t>产生蒸汽，并通过有效的汽-液分离方式制得纯蒸汽。原料水通</w:t>
      </w:r>
      <w:r>
        <w:rPr>
          <w:spacing w:val="-133"/>
        </w:rPr>
        <w:t xml:space="preserve"> </w:t>
      </w:r>
      <w:r>
        <w:rPr>
          <w:spacing w:val="-4"/>
        </w:rPr>
        <w:t>过泵进入蒸发器管程与进入壳程的工业蒸汽进行换热，原料水蒸</w:t>
      </w:r>
      <w:r>
        <w:rPr>
          <w:w w:val="99"/>
        </w:rPr>
        <w:t xml:space="preserve"> </w:t>
      </w:r>
      <w:r>
        <w:rPr>
          <w:spacing w:val="-4"/>
        </w:rPr>
        <w:t>发后通过分离器进行分离变成纯蒸汽，由纯蒸汽出口输送到使用</w:t>
      </w:r>
      <w:r>
        <w:rPr>
          <w:w w:val="99"/>
        </w:rPr>
        <w:t xml:space="preserve"> </w:t>
      </w:r>
      <w:r>
        <w:t>点。纯蒸汽的在线质量监测参数通常包括纯蒸汽输出的压力/温</w:t>
      </w:r>
      <w:r>
        <w:rPr>
          <w:spacing w:val="-132"/>
        </w:rPr>
        <w:t xml:space="preserve"> </w:t>
      </w:r>
      <w:r>
        <w:t>度。</w:t>
      </w:r>
    </w:p>
    <w:p w14:paraId="160F4A93">
      <w:pPr>
        <w:spacing w:after="0" w:line="321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064440DA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681DD1ED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A88C682">
      <w:pPr>
        <w:pStyle w:val="2"/>
        <w:spacing w:before="0" w:line="240" w:lineRule="auto"/>
        <w:ind w:left="747" w:right="112"/>
        <w:jc w:val="left"/>
        <w:rPr>
          <w:rFonts w:ascii="宋体" w:hAnsi="宋体" w:eastAsia="宋体" w:cs="宋体"/>
        </w:rPr>
      </w:pPr>
      <w:bookmarkStart w:id="90" w:name="_bookmark28"/>
      <w:bookmarkEnd w:id="90"/>
      <w:bookmarkStart w:id="91" w:name="（二）纯蒸汽分配系统概述"/>
      <w:bookmarkEnd w:id="91"/>
      <w:r>
        <w:rPr>
          <w:rFonts w:ascii="宋体" w:hAnsi="宋体" w:eastAsia="宋体" w:cs="宋体"/>
        </w:rPr>
        <w:t>（二）纯蒸汽分配系统概述</w:t>
      </w:r>
    </w:p>
    <w:p w14:paraId="4E234E8E">
      <w:pPr>
        <w:pStyle w:val="2"/>
        <w:spacing w:before="140" w:line="321" w:lineRule="auto"/>
        <w:ind w:right="431" w:firstLine="640"/>
        <w:jc w:val="both"/>
      </w:pPr>
      <w:r>
        <w:rPr>
          <w:spacing w:val="-4"/>
          <w:w w:val="95"/>
        </w:rPr>
        <w:t>纯蒸汽分配系统主要包括分配管网和用汽点，其主要功能是</w:t>
      </w:r>
      <w:r>
        <w:rPr>
          <w:w w:val="99"/>
        </w:rPr>
        <w:t xml:space="preserve"> </w:t>
      </w:r>
      <w:r>
        <w:rPr>
          <w:spacing w:val="-4"/>
          <w:w w:val="95"/>
        </w:rPr>
        <w:t>以一定的压力将纯蒸汽输送到所需的工艺岗位，满足其流量、压</w:t>
      </w:r>
      <w:r>
        <w:rPr>
          <w:spacing w:val="133"/>
          <w:w w:val="95"/>
        </w:rPr>
        <w:t xml:space="preserve"> </w:t>
      </w:r>
      <w:r>
        <w:t>力和温度等需求，并维持纯蒸汽质量符合法规的相关要求。</w:t>
      </w:r>
    </w:p>
    <w:p w14:paraId="691D5710">
      <w:pPr>
        <w:pStyle w:val="2"/>
        <w:spacing w:line="316" w:lineRule="auto"/>
        <w:ind w:right="112" w:firstLine="640"/>
        <w:jc w:val="left"/>
      </w:pPr>
      <w:r>
        <w:t>纯蒸汽管道与阀门多采用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316L </w:t>
      </w:r>
      <w:r>
        <w:t>不锈钢部件进行制造。分配</w:t>
      </w:r>
      <w:r>
        <w:rPr>
          <w:w w:val="99"/>
        </w:rPr>
        <w:t xml:space="preserve"> </w:t>
      </w:r>
      <w:r>
        <w:rPr>
          <w:spacing w:val="7"/>
        </w:rPr>
        <w:t>系统中冷凝水的不良聚集是纯蒸汽系统发生内毒素污染的潜在</w:t>
      </w:r>
      <w:r>
        <w:rPr>
          <w:w w:val="99"/>
        </w:rPr>
        <w:t xml:space="preserve"> </w:t>
      </w:r>
      <w:r>
        <w:rPr>
          <w:spacing w:val="-4"/>
        </w:rPr>
        <w:t>风险之一，且会给纯蒸汽分配系统带来严重的红锈等颗粒物污染</w:t>
      </w:r>
      <w:r>
        <w:rPr>
          <w:w w:val="99"/>
        </w:rPr>
        <w:t xml:space="preserve"> </w:t>
      </w:r>
      <w:r>
        <w:rPr>
          <w:spacing w:val="-4"/>
        </w:rPr>
        <w:t>与腐蚀。纯蒸汽分配系统中的所有管道和部件应当具有在设计和</w:t>
      </w:r>
      <w:r>
        <w:rPr>
          <w:w w:val="99"/>
        </w:rPr>
        <w:t xml:space="preserve"> </w:t>
      </w:r>
      <w:r>
        <w:rPr>
          <w:spacing w:val="-4"/>
        </w:rPr>
        <w:t>施工时，最大程度排尽管道内空气冷凝水的能力。纯蒸汽发生器</w:t>
      </w:r>
      <w:r>
        <w:rPr>
          <w:w w:val="99"/>
        </w:rPr>
        <w:t xml:space="preserve"> </w:t>
      </w:r>
      <w:r>
        <w:rPr>
          <w:spacing w:val="4"/>
        </w:rPr>
        <w:t>和分配管网系统通常采用对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Ra</w:t>
      </w:r>
      <w:r>
        <w:rPr>
          <w:spacing w:val="3"/>
        </w:rPr>
        <w:t>（表面粗糙度）有一定控制要求</w:t>
      </w:r>
      <w:r>
        <w:rPr>
          <w:w w:val="99"/>
        </w:rPr>
        <w:t xml:space="preserve"> </w:t>
      </w:r>
      <w:r>
        <w:rPr>
          <w:spacing w:val="-4"/>
        </w:rPr>
        <w:t>的材料进行组装，以延缓系统的高温腐蚀。纯蒸汽分配主管网和</w:t>
      </w:r>
      <w:r>
        <w:rPr>
          <w:w w:val="99"/>
        </w:rPr>
        <w:t xml:space="preserve"> </w:t>
      </w:r>
      <w:r>
        <w:rPr>
          <w:spacing w:val="-4"/>
        </w:rPr>
        <w:t>分配系统压力应当稳定，管道管件的连接应当采用自动氩弧焊接、</w:t>
      </w:r>
      <w:r>
        <w:rPr>
          <w:w w:val="99"/>
        </w:rPr>
        <w:t xml:space="preserve"> </w:t>
      </w:r>
      <w:r>
        <w:rPr>
          <w:spacing w:val="-4"/>
        </w:rPr>
        <w:t>卫生型卡箍或高压无菌法兰，位于排放管道上隔断阀之后的仪表，</w:t>
      </w:r>
      <w:r>
        <w:rPr>
          <w:w w:val="99"/>
        </w:rPr>
        <w:t xml:space="preserve"> </w:t>
      </w:r>
      <w:r>
        <w:t>应当首选卫生型卡箍连接。</w:t>
      </w:r>
    </w:p>
    <w:p w14:paraId="5067C45F">
      <w:pPr>
        <w:pStyle w:val="2"/>
        <w:spacing w:before="38" w:line="321" w:lineRule="auto"/>
        <w:ind w:right="433" w:firstLine="640"/>
        <w:jc w:val="both"/>
      </w:pPr>
      <w:r>
        <w:rPr>
          <w:spacing w:val="8"/>
        </w:rPr>
        <w:t>纯蒸汽用汽点阀门的供应管道通常被设计成从顶部主管道</w:t>
      </w:r>
      <w:r>
        <w:rPr>
          <w:w w:val="99"/>
        </w:rPr>
        <w:t xml:space="preserve"> </w:t>
      </w:r>
      <w:r>
        <w:rPr>
          <w:spacing w:val="-4"/>
          <w:w w:val="95"/>
        </w:rPr>
        <w:t>到冷凝水疏水阀的一个分支，以防主管网冷凝水进入用汽点，同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时分配管道需设置一定的坡度。蒸汽分配系统的用汽点可安装排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不凝性气体的热静力疏水装置，分配系统中其他任何最低点处均</w:t>
      </w:r>
      <w:r>
        <w:rPr>
          <w:spacing w:val="134"/>
          <w:w w:val="95"/>
        </w:rPr>
        <w:t xml:space="preserve"> </w:t>
      </w:r>
      <w:r>
        <w:t>需安装性能可靠的疏水装置。</w:t>
      </w:r>
    </w:p>
    <w:p w14:paraId="20C6E61B">
      <w:pPr>
        <w:pStyle w:val="2"/>
        <w:spacing w:line="240" w:lineRule="auto"/>
        <w:ind w:left="747" w:right="112"/>
        <w:jc w:val="left"/>
        <w:rPr>
          <w:rFonts w:ascii="宋体" w:hAnsi="宋体" w:eastAsia="宋体" w:cs="宋体"/>
        </w:rPr>
      </w:pPr>
      <w:bookmarkStart w:id="92" w:name="（三）纯蒸汽系统检查要点"/>
      <w:bookmarkEnd w:id="92"/>
      <w:bookmarkStart w:id="93" w:name="_bookmark29"/>
      <w:bookmarkEnd w:id="93"/>
      <w:r>
        <w:rPr>
          <w:rFonts w:ascii="宋体" w:hAnsi="宋体" w:eastAsia="宋体" w:cs="宋体"/>
        </w:rPr>
        <w:t>（三）纯蒸汽系统检查要点</w:t>
      </w:r>
    </w:p>
    <w:p w14:paraId="5C130B90">
      <w:pPr>
        <w:pStyle w:val="2"/>
        <w:spacing w:before="140" w:line="240" w:lineRule="auto"/>
        <w:ind w:left="747" w:right="112"/>
        <w:jc w:val="left"/>
      </w:pPr>
      <w:bookmarkStart w:id="94" w:name="1.纯蒸汽系统的确认"/>
      <w:bookmarkEnd w:id="94"/>
      <w:bookmarkStart w:id="95" w:name="_bookmark30"/>
      <w:bookmarkEnd w:id="95"/>
      <w:r>
        <w:t>1.纯蒸汽系统的确认</w:t>
      </w:r>
    </w:p>
    <w:p w14:paraId="08382768">
      <w:pPr>
        <w:spacing w:after="0" w:line="240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15C6E438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F5C4309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7A1E0A99">
      <w:pPr>
        <w:pStyle w:val="2"/>
        <w:spacing w:before="0" w:line="321" w:lineRule="auto"/>
        <w:ind w:right="112" w:firstLine="640"/>
        <w:jc w:val="left"/>
      </w:pPr>
      <w:r>
        <w:t>应当对纯蒸汽系统的设计、安装、运行和性能等进行确认，</w:t>
      </w:r>
      <w:r>
        <w:rPr>
          <w:w w:val="99"/>
        </w:rPr>
        <w:t xml:space="preserve"> </w:t>
      </w:r>
      <w:r>
        <w:t>并保存纯蒸汽系统确认相关技术资料。</w:t>
      </w:r>
    </w:p>
    <w:p w14:paraId="4AC4820D">
      <w:pPr>
        <w:pStyle w:val="2"/>
        <w:spacing w:line="240" w:lineRule="auto"/>
        <w:ind w:left="747" w:right="112"/>
        <w:jc w:val="left"/>
      </w:pPr>
      <w:r>
        <w:t>检查要点包括但不限于：</w:t>
      </w:r>
    </w:p>
    <w:p w14:paraId="600833B8">
      <w:pPr>
        <w:pStyle w:val="2"/>
        <w:spacing w:before="143" w:line="302" w:lineRule="auto"/>
        <w:ind w:left="747" w:right="112"/>
        <w:jc w:val="left"/>
      </w:pPr>
      <w:bookmarkStart w:id="96" w:name="（1）设计确认（DQ）"/>
      <w:bookmarkEnd w:id="96"/>
      <w:r>
        <w:t>（1）设计确认（</w:t>
      </w:r>
      <w:r>
        <w:rPr>
          <w:rFonts w:ascii="Times New Roman" w:hAnsi="Times New Roman" w:eastAsia="Times New Roman" w:cs="Times New Roman"/>
        </w:rPr>
        <w:t>DQ</w:t>
      </w:r>
      <w:r>
        <w:t>）</w:t>
      </w:r>
      <w:r>
        <w:rPr>
          <w:w w:val="99"/>
        </w:rPr>
        <w:t xml:space="preserve"> </w:t>
      </w:r>
      <w:r>
        <w:rPr>
          <w:spacing w:val="3"/>
        </w:rPr>
        <w:t>纯蒸汽系统的稳健运行离不开良好的设计，在</w:t>
      </w:r>
      <w:r>
        <w:rPr>
          <w:spacing w:val="-87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7"/>
        </w:rPr>
        <w:t xml:space="preserve"> </w:t>
      </w:r>
      <w:r>
        <w:rPr>
          <w:spacing w:val="2"/>
        </w:rPr>
        <w:t>提出阶</w:t>
      </w:r>
    </w:p>
    <w:p w14:paraId="7183013B">
      <w:pPr>
        <w:pStyle w:val="2"/>
        <w:spacing w:before="24" w:line="321" w:lineRule="auto"/>
        <w:ind w:right="433"/>
        <w:jc w:val="both"/>
      </w:pPr>
      <w:r>
        <w:rPr>
          <w:spacing w:val="-4"/>
          <w:w w:val="95"/>
        </w:rPr>
        <w:t>段以及设计阶段应当综合考虑生产要求，结合法规要求合理、科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学地设计纯蒸汽的制备系统与分配系统。设计确认应当关注以下</w:t>
      </w:r>
      <w:r>
        <w:rPr>
          <w:spacing w:val="134"/>
          <w:w w:val="95"/>
        </w:rPr>
        <w:t xml:space="preserve"> </w:t>
      </w:r>
      <w:r>
        <w:t>内容：</w:t>
      </w:r>
    </w:p>
    <w:p w14:paraId="2E0DA5E3">
      <w:pPr>
        <w:pStyle w:val="2"/>
        <w:spacing w:line="31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纯蒸汽系统设计文件的审核：检查制备和分配系统所有设</w:t>
      </w:r>
      <w:r>
        <w:rPr>
          <w:w w:val="99"/>
        </w:rPr>
        <w:t xml:space="preserve"> </w:t>
      </w:r>
      <w:r>
        <w:rPr>
          <w:spacing w:val="2"/>
        </w:rPr>
        <w:t>计文件是否满足</w:t>
      </w:r>
      <w:r>
        <w:rPr>
          <w:spacing w:val="-78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2"/>
        </w:rPr>
        <w:t>要求，内容是否完整且经过批准。关键要</w:t>
      </w:r>
      <w:r>
        <w:rPr>
          <w:w w:val="99"/>
        </w:rPr>
        <w:t xml:space="preserve"> </w:t>
      </w:r>
      <w:r>
        <w:rPr>
          <w:spacing w:val="-4"/>
        </w:rPr>
        <w:t>素是否考虑，如纯蒸汽制备出口是否设置电导率传感器及压力传</w:t>
      </w:r>
      <w:r>
        <w:rPr>
          <w:w w:val="99"/>
        </w:rPr>
        <w:t xml:space="preserve"> </w:t>
      </w:r>
      <w:r>
        <w:rPr>
          <w:spacing w:val="-4"/>
        </w:rPr>
        <w:t>感器；纯蒸汽分配系统管路末端及使用点是否设计了排水，排水</w:t>
      </w:r>
      <w:r>
        <w:rPr>
          <w:w w:val="99"/>
        </w:rPr>
        <w:t xml:space="preserve"> </w:t>
      </w:r>
      <w:r>
        <w:rPr>
          <w:spacing w:val="-4"/>
        </w:rPr>
        <w:t>管路是否设计为垂直安装，用汽点是否设计为先高于主管后下降；</w:t>
      </w:r>
      <w:r>
        <w:rPr>
          <w:w w:val="99"/>
        </w:rPr>
        <w:t xml:space="preserve"> </w:t>
      </w:r>
      <w:r>
        <w:t>纯蒸汽水平管路是否设计了坡度等。</w:t>
      </w:r>
    </w:p>
    <w:p w14:paraId="752FEE17">
      <w:pPr>
        <w:pStyle w:val="2"/>
        <w:spacing w:before="41" w:line="240" w:lineRule="auto"/>
        <w:ind w:left="747" w:right="112"/>
        <w:jc w:val="left"/>
      </w:pPr>
      <w:r>
        <w:rPr>
          <w:rFonts w:ascii="Wingdings" w:hAnsi="Wingdings" w:eastAsia="Wingdings" w:cs="Wingdings"/>
        </w:rPr>
        <w:t></w:t>
      </w:r>
      <w:r>
        <w:t>纯蒸汽发生器的原水质量及供应能力。</w:t>
      </w:r>
    </w:p>
    <w:p w14:paraId="23B1971D">
      <w:pPr>
        <w:pStyle w:val="2"/>
        <w:spacing w:before="120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纯蒸汽使用点的用途、压力、流速（如有）等要求，评估</w:t>
      </w:r>
      <w:r>
        <w:rPr>
          <w:w w:val="99"/>
        </w:rPr>
        <w:t xml:space="preserve"> </w:t>
      </w:r>
      <w:r>
        <w:t>系统设计是否满足各使用点以及峰值使用量。</w:t>
      </w:r>
    </w:p>
    <w:p w14:paraId="0B3227EF">
      <w:pPr>
        <w:pStyle w:val="2"/>
        <w:spacing w:before="54" w:line="240" w:lineRule="auto"/>
        <w:ind w:left="747" w:right="112"/>
        <w:jc w:val="left"/>
        <w:rPr>
          <w:rFonts w:ascii="Times New Roman" w:hAnsi="Times New Roman" w:eastAsia="Times New Roman" w:cs="Times New Roman"/>
        </w:rPr>
      </w:pPr>
      <w:r>
        <w:rPr>
          <w:rFonts w:ascii="Wingdings" w:hAnsi="Wingdings" w:eastAsia="Wingdings" w:cs="Wingdings"/>
          <w:spacing w:val="-3"/>
        </w:rPr>
        <w:t></w:t>
      </w:r>
      <w:r>
        <w:rPr>
          <w:spacing w:val="-3"/>
        </w:rPr>
        <w:t>纯蒸汽系统材质的要求：纯蒸汽系统通常采用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316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或</w:t>
      </w:r>
      <w:r>
        <w:rPr>
          <w:spacing w:val="-81"/>
        </w:rPr>
        <w:t xml:space="preserve"> </w:t>
      </w:r>
      <w:r>
        <w:rPr>
          <w:rFonts w:ascii="Times New Roman" w:hAnsi="Times New Roman" w:eastAsia="Times New Roman" w:cs="Times New Roman"/>
        </w:rPr>
        <w:t>316L</w:t>
      </w:r>
    </w:p>
    <w:p w14:paraId="7D1791BD">
      <w:pPr>
        <w:pStyle w:val="2"/>
        <w:spacing w:before="118" w:line="240" w:lineRule="auto"/>
        <w:ind w:right="0"/>
        <w:jc w:val="both"/>
      </w:pPr>
      <w:r>
        <w:rPr>
          <w:spacing w:val="-9"/>
        </w:rPr>
        <w:t>级别的不锈钢，至少采用机械抛光，纯蒸汽阀门需要卫生型设计。</w:t>
      </w:r>
    </w:p>
    <w:p w14:paraId="577321C5">
      <w:pPr>
        <w:pStyle w:val="2"/>
        <w:spacing w:before="140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纯蒸汽系统的在线监测及日常取样：通常对纯蒸汽发生器</w:t>
      </w:r>
      <w:r>
        <w:rPr>
          <w:w w:val="99"/>
        </w:rPr>
        <w:t xml:space="preserve"> </w:t>
      </w:r>
      <w:r>
        <w:rPr>
          <w:spacing w:val="-4"/>
          <w:w w:val="95"/>
        </w:rPr>
        <w:t>的出口通过在线冷凝器的方法监测电导率、出口温度和压力，分</w:t>
      </w:r>
    </w:p>
    <w:p w14:paraId="411C4917">
      <w:pPr>
        <w:spacing w:after="0" w:line="304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74731EE4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278DA839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6C2E293F">
      <w:pPr>
        <w:pStyle w:val="2"/>
        <w:spacing w:before="0" w:line="321" w:lineRule="auto"/>
        <w:ind w:right="113"/>
        <w:jc w:val="both"/>
      </w:pPr>
      <w:r>
        <w:rPr>
          <w:spacing w:val="7"/>
        </w:rPr>
        <w:t>配系统需根据实际使用要求及潜在的风险来选择取样装置的类</w:t>
      </w:r>
      <w:r>
        <w:rPr>
          <w:w w:val="99"/>
        </w:rPr>
        <w:t xml:space="preserve"> </w:t>
      </w:r>
      <w:r>
        <w:rPr>
          <w:spacing w:val="-4"/>
          <w:w w:val="95"/>
        </w:rPr>
        <w:t>型，系统设计应当保证能够离线取样，在关键取样点鼓励采用在</w:t>
      </w:r>
      <w:r>
        <w:rPr>
          <w:spacing w:val="134"/>
          <w:w w:val="95"/>
        </w:rPr>
        <w:t xml:space="preserve"> </w:t>
      </w:r>
      <w:r>
        <w:t>线取样装置。</w:t>
      </w:r>
    </w:p>
    <w:p w14:paraId="68A29F83">
      <w:pPr>
        <w:pStyle w:val="2"/>
        <w:spacing w:before="34" w:line="302" w:lineRule="auto"/>
        <w:ind w:left="747" w:right="0"/>
        <w:jc w:val="left"/>
      </w:pPr>
      <w:bookmarkStart w:id="97" w:name="（2）安装确认（IQ）"/>
      <w:bookmarkEnd w:id="97"/>
      <w:r>
        <w:t>（2）安装确认（</w:t>
      </w:r>
      <w:r>
        <w:rPr>
          <w:rFonts w:ascii="Times New Roman" w:hAnsi="Times New Roman" w:eastAsia="Times New Roman" w:cs="Times New Roman"/>
        </w:rPr>
        <w:t>IQ</w:t>
      </w:r>
      <w:r>
        <w:t>）</w:t>
      </w:r>
      <w:r>
        <w:rPr>
          <w:w w:val="99"/>
        </w:rPr>
        <w:t xml:space="preserve"> </w:t>
      </w:r>
      <w:r>
        <w:rPr>
          <w:spacing w:val="-4"/>
          <w:w w:val="95"/>
        </w:rPr>
        <w:t>检查纯蒸汽系统的安装确认文件，安装确认应当关注以下内</w:t>
      </w:r>
    </w:p>
    <w:p w14:paraId="183D60A2">
      <w:pPr>
        <w:pStyle w:val="2"/>
        <w:spacing w:before="57" w:line="240" w:lineRule="auto"/>
        <w:ind w:right="0"/>
        <w:jc w:val="left"/>
      </w:pPr>
      <w:r>
        <w:t>容：</w:t>
      </w:r>
    </w:p>
    <w:p w14:paraId="25C57051">
      <w:pPr>
        <w:pStyle w:val="2"/>
        <w:spacing w:before="143" w:line="240" w:lineRule="auto"/>
        <w:ind w:left="747" w:right="0"/>
        <w:jc w:val="left"/>
      </w:pPr>
      <w:r>
        <w:rPr>
          <w:rFonts w:ascii="Wingdings" w:hAnsi="Wingdings" w:eastAsia="Wingdings" w:cs="Wingdings"/>
        </w:rPr>
        <w:t></w:t>
      </w:r>
      <w:r>
        <w:t>纯蒸汽系统竣工版的工艺流程图、管道仪表图的确认：应</w:t>
      </w:r>
    </w:p>
    <w:p w14:paraId="3590EA96">
      <w:pPr>
        <w:spacing w:before="13" w:line="240" w:lineRule="auto"/>
        <w:rPr>
          <w:rFonts w:ascii="宋体" w:hAnsi="宋体" w:eastAsia="宋体" w:cs="宋体"/>
          <w:sz w:val="8"/>
          <w:szCs w:val="8"/>
        </w:rPr>
      </w:pPr>
    </w:p>
    <w:p w14:paraId="33D60938">
      <w:pPr>
        <w:pStyle w:val="2"/>
        <w:spacing w:before="0" w:line="321" w:lineRule="auto"/>
        <w:ind w:right="113"/>
        <w:jc w:val="both"/>
      </w:pPr>
      <w:r>
        <w:rPr>
          <w:spacing w:val="-4"/>
          <w:w w:val="95"/>
        </w:rPr>
        <w:t>当确认图纸上的部件是否正确设置，如取样阀、在线仪表、排水</w:t>
      </w:r>
      <w:r>
        <w:rPr>
          <w:spacing w:val="133"/>
          <w:w w:val="95"/>
        </w:rPr>
        <w:t xml:space="preserve"> </w:t>
      </w:r>
      <w:r>
        <w:rPr>
          <w:spacing w:val="-4"/>
          <w:w w:val="95"/>
        </w:rPr>
        <w:t>空气隔断等的安装位置、安装方向等。在线监测仪器仪表的校准</w:t>
      </w:r>
      <w:r>
        <w:rPr>
          <w:spacing w:val="134"/>
          <w:w w:val="95"/>
        </w:rPr>
        <w:t xml:space="preserve"> </w:t>
      </w:r>
      <w:r>
        <w:t>及是否在校准期内。</w:t>
      </w:r>
    </w:p>
    <w:p w14:paraId="334BEA30">
      <w:pPr>
        <w:pStyle w:val="2"/>
        <w:spacing w:line="304" w:lineRule="auto"/>
        <w:ind w:right="171" w:firstLine="640"/>
        <w:jc w:val="both"/>
      </w:pPr>
      <w:r>
        <w:rPr>
          <w:rFonts w:ascii="Wingdings" w:hAnsi="Wingdings" w:eastAsia="Wingdings" w:cs="Wingdings"/>
        </w:rPr>
        <w:t></w:t>
      </w:r>
      <w:r>
        <w:t>纯蒸汽系统关键部件的确认：检查系统中所有关键部件安</w:t>
      </w:r>
      <w:r>
        <w:rPr>
          <w:w w:val="99"/>
        </w:rPr>
        <w:t xml:space="preserve"> </w:t>
      </w:r>
      <w:r>
        <w:t>装是否正确，型号、技术参数是否与设计文件保持一致。</w:t>
      </w:r>
    </w:p>
    <w:p w14:paraId="23B270D8">
      <w:pPr>
        <w:pStyle w:val="2"/>
        <w:spacing w:before="56" w:line="312" w:lineRule="auto"/>
        <w:ind w:right="113" w:firstLine="640"/>
        <w:jc w:val="both"/>
      </w:pPr>
      <w:r>
        <w:rPr>
          <w:rFonts w:ascii="Wingdings" w:hAnsi="Wingdings" w:eastAsia="Wingdings" w:cs="Wingdings"/>
        </w:rPr>
        <w:t></w:t>
      </w:r>
      <w:r>
        <w:t>纯蒸汽系统材质和表面光滑度：检查系统关键部件的材质</w:t>
      </w:r>
      <w:r>
        <w:rPr>
          <w:w w:val="99"/>
        </w:rPr>
        <w:t xml:space="preserve"> </w:t>
      </w:r>
      <w:r>
        <w:rPr>
          <w:spacing w:val="-4"/>
          <w:w w:val="95"/>
        </w:rPr>
        <w:t>和表面光滑度是否符合设计要求，阀门和管道连接的垫片是否能</w:t>
      </w:r>
      <w:r>
        <w:rPr>
          <w:spacing w:val="134"/>
          <w:w w:val="95"/>
        </w:rPr>
        <w:t xml:space="preserve"> </w:t>
      </w:r>
      <w:r>
        <w:t>够耐受高温腐蚀，检查焊接记录及内窥镜影像资料等。</w:t>
      </w:r>
    </w:p>
    <w:p w14:paraId="59D8CCBF">
      <w:pPr>
        <w:pStyle w:val="2"/>
        <w:spacing w:before="47" w:line="304" w:lineRule="auto"/>
        <w:ind w:right="171" w:firstLine="640"/>
        <w:jc w:val="both"/>
      </w:pPr>
      <w:r>
        <w:rPr>
          <w:rFonts w:ascii="Wingdings" w:hAnsi="Wingdings" w:eastAsia="Wingdings" w:cs="Wingdings"/>
        </w:rPr>
        <w:t></w:t>
      </w:r>
      <w:r>
        <w:t>纯蒸汽系统管路压力测试、清洗钝化的确认：需要确认压</w:t>
      </w:r>
      <w:r>
        <w:rPr>
          <w:w w:val="99"/>
        </w:rPr>
        <w:t xml:space="preserve"> </w:t>
      </w:r>
      <w:r>
        <w:t>力测试、清洗钝化是否按照操作规程完成并且有文件记录。</w:t>
      </w:r>
    </w:p>
    <w:p w14:paraId="18985FA0">
      <w:pPr>
        <w:pStyle w:val="2"/>
        <w:spacing w:before="54" w:line="312" w:lineRule="auto"/>
        <w:ind w:right="113" w:firstLine="640"/>
        <w:jc w:val="both"/>
      </w:pPr>
      <w:r>
        <w:rPr>
          <w:rFonts w:ascii="Wingdings" w:hAnsi="Wingdings" w:eastAsia="Wingdings" w:cs="Wingdings"/>
        </w:rPr>
        <w:t></w:t>
      </w:r>
      <w:r>
        <w:t>纯蒸汽系统坡度的确认：需要确认系统管网的水平管路是</w:t>
      </w:r>
      <w:r>
        <w:rPr>
          <w:w w:val="99"/>
        </w:rPr>
        <w:t xml:space="preserve"> </w:t>
      </w:r>
      <w:r>
        <w:rPr>
          <w:spacing w:val="-4"/>
          <w:w w:val="95"/>
        </w:rPr>
        <w:t>否按设计要求保持相应坡度以保证冷凝水排空，并使用经校准的</w:t>
      </w:r>
      <w:r>
        <w:rPr>
          <w:spacing w:val="134"/>
          <w:w w:val="95"/>
        </w:rPr>
        <w:t xml:space="preserve"> </w:t>
      </w:r>
      <w:r>
        <w:t>水平仪进行确认且保留记录。</w:t>
      </w:r>
    </w:p>
    <w:p w14:paraId="2EAF4D4C">
      <w:pPr>
        <w:pStyle w:val="2"/>
        <w:spacing w:before="44" w:line="240" w:lineRule="auto"/>
        <w:ind w:left="747" w:right="0"/>
        <w:jc w:val="left"/>
      </w:pPr>
      <w:bookmarkStart w:id="98" w:name="（3）运行确认（OQ）"/>
      <w:bookmarkEnd w:id="98"/>
      <w:r>
        <w:t>（3）运行确认（</w:t>
      </w:r>
      <w:r>
        <w:rPr>
          <w:rFonts w:ascii="Times New Roman" w:hAnsi="Times New Roman" w:eastAsia="Times New Roman" w:cs="Times New Roman"/>
        </w:rPr>
        <w:t>OQ</w:t>
      </w:r>
      <w:r>
        <w:t>）</w:t>
      </w:r>
    </w:p>
    <w:p w14:paraId="6F234EBB">
      <w:pPr>
        <w:spacing w:after="0" w:line="240" w:lineRule="auto"/>
        <w:jc w:val="left"/>
        <w:sectPr>
          <w:pgSz w:w="11910" w:h="16840"/>
          <w:pgMar w:top="1580" w:right="1360" w:bottom="2480" w:left="1480" w:header="0" w:footer="2285" w:gutter="0"/>
          <w:cols w:space="720" w:num="1"/>
        </w:sectPr>
      </w:pPr>
    </w:p>
    <w:p w14:paraId="00F1A268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7800627E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0C6E6DCF">
      <w:pPr>
        <w:pStyle w:val="2"/>
        <w:spacing w:before="0" w:line="321" w:lineRule="auto"/>
        <w:ind w:right="433" w:firstLine="640"/>
        <w:jc w:val="both"/>
      </w:pPr>
      <w:r>
        <w:rPr>
          <w:spacing w:val="-4"/>
          <w:w w:val="95"/>
        </w:rPr>
        <w:t>检查纯蒸汽系统的运行确认文件，运行确认是为了确定纯蒸</w:t>
      </w:r>
      <w:r>
        <w:rPr>
          <w:w w:val="99"/>
        </w:rPr>
        <w:t xml:space="preserve"> </w:t>
      </w:r>
      <w:r>
        <w:rPr>
          <w:spacing w:val="-4"/>
          <w:w w:val="95"/>
        </w:rPr>
        <w:t>汽系统能够按照设定的参数运行，并产生符合标准要求的纯蒸汽</w:t>
      </w:r>
      <w:r>
        <w:rPr>
          <w:spacing w:val="134"/>
          <w:w w:val="95"/>
        </w:rPr>
        <w:t xml:space="preserve"> </w:t>
      </w:r>
      <w:r>
        <w:t>而进行的实际运行试验，运行确认应当关注以下内容：</w:t>
      </w:r>
    </w:p>
    <w:p w14:paraId="5F56043C">
      <w:pPr>
        <w:pStyle w:val="2"/>
        <w:spacing w:before="34" w:line="240" w:lineRule="auto"/>
        <w:ind w:left="747" w:right="112"/>
        <w:jc w:val="left"/>
        <w:rPr>
          <w:rFonts w:ascii="Times New Roman" w:hAnsi="Times New Roman" w:eastAsia="Times New Roman" w:cs="Times New Roman"/>
        </w:rPr>
      </w:pPr>
      <w:r>
        <w:rPr>
          <w:rFonts w:ascii="Wingdings" w:hAnsi="Wingdings" w:eastAsia="Wingdings" w:cs="Wingdings"/>
          <w:spacing w:val="7"/>
        </w:rPr>
        <w:t></w:t>
      </w:r>
      <w:r>
        <w:rPr>
          <w:spacing w:val="7"/>
        </w:rPr>
        <w:t>纯蒸汽系统检测仪器的校准：检查确认过程是否涵盖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</w:rPr>
        <w:t>QC</w:t>
      </w:r>
    </w:p>
    <w:p w14:paraId="16E29CF5">
      <w:pPr>
        <w:pStyle w:val="2"/>
        <w:spacing w:before="116" w:line="240" w:lineRule="auto"/>
        <w:ind w:right="0"/>
        <w:jc w:val="left"/>
      </w:pPr>
      <w:r>
        <w:rPr>
          <w:spacing w:val="-4"/>
        </w:rPr>
        <w:t>实验室检验仪器、在线监测仪器仪表的校准及其是否在有效期内。</w:t>
      </w:r>
    </w:p>
    <w:p w14:paraId="5C78B6D1">
      <w:pPr>
        <w:pStyle w:val="2"/>
        <w:spacing w:before="140" w:line="304" w:lineRule="auto"/>
        <w:ind w:left="747" w:right="112"/>
        <w:jc w:val="left"/>
      </w:pPr>
      <w:r>
        <w:rPr>
          <w:rFonts w:ascii="Wingdings" w:hAnsi="Wingdings" w:eastAsia="Wingdings" w:cs="Wingdings"/>
        </w:rPr>
        <w:t></w:t>
      </w:r>
      <w:r>
        <w:t>纯蒸汽发生器自控系统的确认：</w:t>
      </w:r>
      <w:r>
        <w:rPr>
          <w:w w:val="99"/>
        </w:rPr>
        <w:t xml:space="preserve"> </w:t>
      </w:r>
      <w:r>
        <w:rPr>
          <w:spacing w:val="-4"/>
          <w:w w:val="95"/>
        </w:rPr>
        <w:t>系统访问权限：检查不同等级用户的操作权限是否符合设计</w:t>
      </w:r>
    </w:p>
    <w:p w14:paraId="6C2BC6B0">
      <w:pPr>
        <w:pStyle w:val="2"/>
        <w:spacing w:before="54" w:line="240" w:lineRule="auto"/>
        <w:ind w:right="112"/>
        <w:jc w:val="left"/>
      </w:pPr>
      <w:r>
        <w:t>要求；</w:t>
      </w:r>
    </w:p>
    <w:p w14:paraId="6FCFB9D1">
      <w:pPr>
        <w:pStyle w:val="2"/>
        <w:spacing w:before="140" w:line="321" w:lineRule="auto"/>
        <w:ind w:right="433" w:firstLine="640"/>
        <w:jc w:val="both"/>
      </w:pPr>
      <w:r>
        <w:rPr>
          <w:spacing w:val="-4"/>
          <w:w w:val="95"/>
        </w:rPr>
        <w:t>紧急停机测试：检查系统在各种运行状态中紧急停机是否有</w:t>
      </w:r>
      <w:r>
        <w:rPr>
          <w:w w:val="99"/>
        </w:rPr>
        <w:t xml:space="preserve"> </w:t>
      </w:r>
      <w:r>
        <w:rPr>
          <w:spacing w:val="-4"/>
          <w:w w:val="95"/>
        </w:rPr>
        <w:t>效，停机后系统是否处于安全状态，存储的数据是否丢失；断电</w:t>
      </w:r>
      <w:r>
        <w:rPr>
          <w:spacing w:val="133"/>
          <w:w w:val="95"/>
        </w:rPr>
        <w:t xml:space="preserve"> </w:t>
      </w:r>
      <w:r>
        <w:t>再恢复、时间准确性、程序备份与恢复、审计追踪等确认；</w:t>
      </w:r>
    </w:p>
    <w:p w14:paraId="4510EFAF">
      <w:pPr>
        <w:pStyle w:val="2"/>
        <w:spacing w:line="321" w:lineRule="auto"/>
        <w:ind w:right="433" w:firstLine="640"/>
        <w:jc w:val="both"/>
      </w:pPr>
      <w:r>
        <w:rPr>
          <w:spacing w:val="-4"/>
          <w:w w:val="95"/>
        </w:rPr>
        <w:t>报警测试：系统的关键报警是否能够正确触发，其产生的行</w:t>
      </w:r>
      <w:r>
        <w:rPr>
          <w:w w:val="99"/>
        </w:rPr>
        <w:t xml:space="preserve"> </w:t>
      </w:r>
      <w:r>
        <w:rPr>
          <w:spacing w:val="-4"/>
          <w:w w:val="95"/>
        </w:rPr>
        <w:t>动和结果与设计文件是否一致。尤其注意公用系统失效的报警和</w:t>
      </w:r>
      <w:r>
        <w:rPr>
          <w:spacing w:val="134"/>
          <w:w w:val="95"/>
        </w:rPr>
        <w:t xml:space="preserve"> </w:t>
      </w:r>
      <w:r>
        <w:t>行动；</w:t>
      </w:r>
    </w:p>
    <w:p w14:paraId="6E28261A">
      <w:pPr>
        <w:pStyle w:val="2"/>
        <w:spacing w:line="240" w:lineRule="auto"/>
        <w:ind w:left="747" w:right="112"/>
        <w:jc w:val="left"/>
      </w:pPr>
      <w:r>
        <w:t>数据记录：数据的存储和备份是否和设计文件一致。</w:t>
      </w:r>
    </w:p>
    <w:p w14:paraId="5E2E369E">
      <w:pPr>
        <w:pStyle w:val="2"/>
        <w:spacing w:before="143" w:line="304" w:lineRule="auto"/>
        <w:ind w:right="112" w:firstLine="640"/>
        <w:jc w:val="left"/>
      </w:pPr>
      <w:r>
        <w:rPr>
          <w:rFonts w:ascii="Wingdings" w:hAnsi="Wingdings" w:eastAsia="Wingdings" w:cs="Wingdings"/>
          <w:spacing w:val="-4"/>
        </w:rPr>
        <w:t></w:t>
      </w:r>
      <w:r>
        <w:rPr>
          <w:spacing w:val="-4"/>
        </w:rPr>
        <w:t>纯蒸汽系统运行参数：将制备系统开启进入正常生产状态，</w:t>
      </w:r>
      <w:r>
        <w:rPr>
          <w:w w:val="99"/>
        </w:rPr>
        <w:t xml:space="preserve"> </w:t>
      </w:r>
      <w:r>
        <w:t>检查在线生产参数是否稳定，是否满足</w:t>
      </w:r>
      <w:r>
        <w:rPr>
          <w:spacing w:val="-84"/>
        </w:rPr>
        <w:t xml:space="preserve"> </w:t>
      </w:r>
      <w:r>
        <w:rPr>
          <w:rFonts w:ascii="Times New Roman" w:hAnsi="Times New Roman" w:eastAsia="Times New Roman" w:cs="Times New Roman"/>
        </w:rPr>
        <w:t>URS</w:t>
      </w:r>
      <w:r>
        <w:rPr>
          <w:rFonts w:ascii="Times New Roman" w:hAnsi="Times New Roman" w:eastAsia="Times New Roman" w:cs="Times New Roman"/>
          <w:spacing w:val="-4"/>
        </w:rPr>
        <w:t xml:space="preserve"> </w:t>
      </w:r>
      <w:r>
        <w:t>要求。</w:t>
      </w:r>
    </w:p>
    <w:p w14:paraId="151123A8">
      <w:pPr>
        <w:pStyle w:val="2"/>
        <w:spacing w:before="20" w:line="312" w:lineRule="auto"/>
        <w:ind w:right="431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纯蒸汽分配系统确认：在正常生产状态下，各使用点压力</w:t>
      </w:r>
      <w:r>
        <w:rPr>
          <w:w w:val="99"/>
        </w:rPr>
        <w:t xml:space="preserve"> </w:t>
      </w:r>
      <w:r>
        <w:rPr>
          <w:spacing w:val="-4"/>
          <w:w w:val="95"/>
        </w:rPr>
        <w:t>是否满足工艺要求，在峰值用量下供给压力是否稳定，疏水器的</w:t>
      </w:r>
      <w:r>
        <w:rPr>
          <w:spacing w:val="133"/>
          <w:w w:val="95"/>
        </w:rPr>
        <w:t xml:space="preserve"> </w:t>
      </w:r>
      <w:r>
        <w:t>疏水功能是否正常。</w:t>
      </w:r>
    </w:p>
    <w:p w14:paraId="34E47C99">
      <w:pPr>
        <w:pStyle w:val="2"/>
        <w:spacing w:before="44" w:line="240" w:lineRule="auto"/>
        <w:ind w:left="747" w:right="112"/>
        <w:jc w:val="left"/>
      </w:pPr>
      <w:bookmarkStart w:id="99" w:name="（4）性能确认（PQ）"/>
      <w:bookmarkEnd w:id="99"/>
      <w:r>
        <w:t>（4）性能确认（</w:t>
      </w:r>
      <w:r>
        <w:rPr>
          <w:rFonts w:ascii="Times New Roman" w:hAnsi="Times New Roman" w:eastAsia="Times New Roman" w:cs="Times New Roman"/>
        </w:rPr>
        <w:t>PQ</w:t>
      </w:r>
      <w:r>
        <w:t>）</w:t>
      </w:r>
    </w:p>
    <w:p w14:paraId="31BC01B7">
      <w:pPr>
        <w:spacing w:after="0" w:line="240" w:lineRule="auto"/>
        <w:jc w:val="left"/>
        <w:sectPr>
          <w:pgSz w:w="11910" w:h="16840"/>
          <w:pgMar w:top="1580" w:right="1040" w:bottom="2480" w:left="1480" w:header="0" w:footer="2285" w:gutter="0"/>
          <w:cols w:space="720" w:num="1"/>
        </w:sectPr>
      </w:pPr>
    </w:p>
    <w:p w14:paraId="5CE79389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1BE20585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2B305B2A">
      <w:pPr>
        <w:pStyle w:val="2"/>
        <w:spacing w:before="0" w:line="321" w:lineRule="auto"/>
        <w:ind w:right="433" w:firstLine="640"/>
        <w:jc w:val="both"/>
      </w:pPr>
      <w:r>
        <w:rPr>
          <w:spacing w:val="8"/>
        </w:rPr>
        <w:t>纯蒸汽系统的性能确认应当根据使用需求或以风险评估的</w:t>
      </w:r>
      <w:r>
        <w:rPr>
          <w:w w:val="99"/>
        </w:rPr>
        <w:t xml:space="preserve"> </w:t>
      </w:r>
      <w:r>
        <w:rPr>
          <w:spacing w:val="-4"/>
          <w:w w:val="95"/>
        </w:rPr>
        <w:t>方式确定性能确认的持续时间，推荐采用三阶段法。性能确认应</w:t>
      </w:r>
      <w:r>
        <w:rPr>
          <w:spacing w:val="134"/>
          <w:w w:val="95"/>
        </w:rPr>
        <w:t xml:space="preserve"> </w:t>
      </w:r>
      <w:r>
        <w:t>当关注以下内容：</w:t>
      </w:r>
    </w:p>
    <w:p w14:paraId="311674CB">
      <w:pPr>
        <w:pStyle w:val="2"/>
        <w:spacing w:before="34" w:line="312" w:lineRule="auto"/>
        <w:ind w:right="112" w:firstLine="640"/>
        <w:jc w:val="left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性能确认是否涵盖以下内容：使用点和其他规定取样点的</w:t>
      </w:r>
      <w:r>
        <w:rPr>
          <w:w w:val="99"/>
        </w:rPr>
        <w:t xml:space="preserve"> </w:t>
      </w:r>
      <w:r>
        <w:rPr>
          <w:spacing w:val="-4"/>
        </w:rPr>
        <w:t>取样、检测和监测；演示操作和维护程序的性能；性能确认第一</w:t>
      </w:r>
      <w:r>
        <w:rPr>
          <w:w w:val="99"/>
        </w:rPr>
        <w:t xml:space="preserve"> </w:t>
      </w:r>
      <w:r>
        <w:rPr>
          <w:spacing w:val="-9"/>
          <w:w w:val="95"/>
        </w:rPr>
        <w:t>阶段、第二阶段完成后设置临时警戒限和纠偏限；测试失败程序；</w:t>
      </w:r>
      <w:r>
        <w:rPr>
          <w:spacing w:val="1"/>
          <w:w w:val="95"/>
        </w:rPr>
        <w:t xml:space="preserve"> </w:t>
      </w:r>
      <w:r>
        <w:rPr>
          <w:spacing w:val="4"/>
        </w:rPr>
        <w:t>证明当系统按</w:t>
      </w:r>
      <w:r>
        <w:rPr>
          <w:spacing w:val="-80"/>
        </w:rPr>
        <w:t xml:space="preserve"> </w:t>
      </w:r>
      <w:r>
        <w:rPr>
          <w:rFonts w:ascii="Times New Roman" w:hAnsi="Times New Roman" w:eastAsia="Times New Roman" w:cs="Times New Roman"/>
        </w:rPr>
        <w:t>SOP</w:t>
      </w:r>
      <w:r>
        <w:rPr>
          <w:rFonts w:ascii="Times New Roman" w:hAnsi="Times New Roman" w:eastAsia="Times New Roman" w:cs="Times New Roman"/>
          <w:spacing w:val="2"/>
        </w:rPr>
        <w:t xml:space="preserve"> </w:t>
      </w:r>
      <w:r>
        <w:rPr>
          <w:spacing w:val="4"/>
        </w:rPr>
        <w:t>运行时可持续生产并送出所需质量和所需数</w:t>
      </w:r>
      <w:r>
        <w:rPr>
          <w:w w:val="99"/>
        </w:rPr>
        <w:t xml:space="preserve"> </w:t>
      </w:r>
      <w:r>
        <w:t>量的纯蒸汽。</w:t>
      </w:r>
    </w:p>
    <w:p w14:paraId="296360FB">
      <w:pPr>
        <w:pStyle w:val="2"/>
        <w:spacing w:before="44" w:line="314" w:lineRule="auto"/>
        <w:ind w:right="433" w:firstLine="640"/>
        <w:jc w:val="both"/>
      </w:pPr>
      <w:r>
        <w:rPr>
          <w:rFonts w:ascii="Wingdings" w:hAnsi="Wingdings" w:eastAsia="Wingdings" w:cs="Wingdings"/>
          <w:spacing w:val="2"/>
        </w:rPr>
        <w:t></w:t>
      </w:r>
      <w:r>
        <w:rPr>
          <w:spacing w:val="2"/>
        </w:rPr>
        <w:t>冷凝水是否符合《中华人民共和国药典》对注射用水的质</w:t>
      </w:r>
      <w:r>
        <w:rPr>
          <w:w w:val="99"/>
        </w:rPr>
        <w:t xml:space="preserve"> </w:t>
      </w:r>
      <w:r>
        <w:rPr>
          <w:spacing w:val="-4"/>
          <w:w w:val="95"/>
        </w:rPr>
        <w:t>量要求（微生物项目除外）；部分应用场所（如湿热灭菌柜）是</w:t>
      </w:r>
      <w:r>
        <w:rPr>
          <w:spacing w:val="134"/>
          <w:w w:val="95"/>
        </w:rPr>
        <w:t xml:space="preserve"> </w:t>
      </w:r>
      <w:r>
        <w:rPr>
          <w:spacing w:val="-4"/>
          <w:w w:val="95"/>
        </w:rPr>
        <w:t>否附加对蒸汽质量的其他特殊要求，如不凝性气体、过热度和干</w:t>
      </w:r>
      <w:r>
        <w:rPr>
          <w:spacing w:val="134"/>
          <w:w w:val="95"/>
        </w:rPr>
        <w:t xml:space="preserve"> </w:t>
      </w:r>
      <w:r>
        <w:t>度值（干度分数）。</w:t>
      </w:r>
    </w:p>
    <w:p w14:paraId="7E184FC7">
      <w:pPr>
        <w:pStyle w:val="2"/>
        <w:spacing w:before="43" w:line="321" w:lineRule="auto"/>
        <w:ind w:left="747" w:right="112"/>
        <w:jc w:val="left"/>
      </w:pPr>
      <w:bookmarkStart w:id="100" w:name="（5）生命周期内确认状态的维持/再确认"/>
      <w:bookmarkEnd w:id="100"/>
      <w:bookmarkStart w:id="101" w:name="_bookmark31"/>
      <w:bookmarkEnd w:id="101"/>
      <w:r>
        <w:t>（5）生命周期内确认状态的维持/再确认</w:t>
      </w:r>
      <w:r>
        <w:rPr>
          <w:w w:val="99"/>
        </w:rPr>
        <w:t xml:space="preserve"> </w:t>
      </w:r>
      <w:r>
        <w:rPr>
          <w:spacing w:val="-4"/>
          <w:w w:val="95"/>
        </w:rPr>
        <w:t>对纯蒸汽系统进行定期预防性维护后，企业可采用回顾分析</w:t>
      </w:r>
    </w:p>
    <w:p w14:paraId="209D50FD">
      <w:pPr>
        <w:pStyle w:val="2"/>
        <w:spacing w:line="321" w:lineRule="auto"/>
        <w:ind w:right="112"/>
        <w:jc w:val="left"/>
      </w:pPr>
      <w:r>
        <w:rPr>
          <w:spacing w:val="-4"/>
        </w:rPr>
        <w:t>等方式确保纯蒸汽系统维持确认状态。当趋势出现渐进性变化时，</w:t>
      </w:r>
      <w:r>
        <w:rPr>
          <w:w w:val="99"/>
        </w:rPr>
        <w:t xml:space="preserve"> </w:t>
      </w:r>
      <w:r>
        <w:rPr>
          <w:spacing w:val="-4"/>
        </w:rPr>
        <w:t>应当进行评估并采取相应的污染控制策略与预防性维护措施。检</w:t>
      </w:r>
      <w:r>
        <w:rPr>
          <w:w w:val="99"/>
        </w:rPr>
        <w:t xml:space="preserve"> </w:t>
      </w:r>
      <w:r>
        <w:rPr>
          <w:spacing w:val="8"/>
        </w:rPr>
        <w:t>查企业是否针对以下情况进行风险评估以确定是否开展再确认</w:t>
      </w:r>
      <w:r>
        <w:rPr>
          <w:w w:val="99"/>
        </w:rPr>
        <w:t xml:space="preserve"> </w:t>
      </w:r>
      <w:r>
        <w:t>以及再确认的程度：</w:t>
      </w:r>
    </w:p>
    <w:p w14:paraId="7B711AE1">
      <w:pPr>
        <w:pStyle w:val="2"/>
        <w:spacing w:before="34" w:line="240" w:lineRule="auto"/>
        <w:ind w:left="747" w:right="112"/>
        <w:jc w:val="left"/>
      </w:pPr>
      <w:r>
        <w:rPr>
          <w:rFonts w:ascii="Wingdings" w:hAnsi="Wingdings" w:eastAsia="Wingdings" w:cs="Wingdings"/>
        </w:rPr>
        <w:t></w:t>
      </w:r>
      <w:r>
        <w:t>纯蒸汽系统初始设计发生了重大设计变更。</w:t>
      </w:r>
    </w:p>
    <w:p w14:paraId="013A9B07">
      <w:pPr>
        <w:pStyle w:val="2"/>
        <w:spacing w:before="118" w:line="240" w:lineRule="auto"/>
        <w:ind w:left="747" w:right="112"/>
        <w:jc w:val="left"/>
      </w:pPr>
      <w:r>
        <w:rPr>
          <w:rFonts w:ascii="Wingdings" w:hAnsi="Wingdings" w:eastAsia="Wingdings" w:cs="Wingdings"/>
        </w:rPr>
        <w:t></w:t>
      </w:r>
      <w:r>
        <w:t>系统性能不稳定并出现重大偏差。</w:t>
      </w:r>
    </w:p>
    <w:p w14:paraId="7283196E">
      <w:pPr>
        <w:pStyle w:val="2"/>
        <w:spacing w:before="118" w:line="240" w:lineRule="auto"/>
        <w:ind w:left="747" w:right="112"/>
        <w:jc w:val="left"/>
      </w:pPr>
      <w:r>
        <w:rPr>
          <w:rFonts w:ascii="Wingdings" w:hAnsi="Wingdings" w:eastAsia="Wingdings" w:cs="Wingdings"/>
        </w:rPr>
        <w:t></w:t>
      </w:r>
      <w:r>
        <w:t>系统重新制定了污染控制策略。</w:t>
      </w:r>
    </w:p>
    <w:p w14:paraId="5BAAE2EB">
      <w:pPr>
        <w:spacing w:after="0" w:line="240" w:lineRule="auto"/>
        <w:jc w:val="left"/>
        <w:sectPr>
          <w:footerReference r:id="rId10" w:type="default"/>
          <w:pgSz w:w="11910" w:h="16840"/>
          <w:pgMar w:top="1580" w:right="1040" w:bottom="2480" w:left="1480" w:header="0" w:footer="2285" w:gutter="0"/>
          <w:pgNumType w:start="40"/>
          <w:cols w:space="720" w:num="1"/>
        </w:sectPr>
      </w:pPr>
    </w:p>
    <w:p w14:paraId="59DCBE36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1356757A">
      <w:pPr>
        <w:spacing w:before="13" w:line="240" w:lineRule="auto"/>
        <w:rPr>
          <w:rFonts w:ascii="宋体" w:hAnsi="宋体" w:eastAsia="宋体" w:cs="宋体"/>
          <w:sz w:val="23"/>
          <w:szCs w:val="23"/>
        </w:rPr>
      </w:pPr>
    </w:p>
    <w:p w14:paraId="4C1F0F22">
      <w:pPr>
        <w:pStyle w:val="2"/>
        <w:spacing w:before="0" w:line="321" w:lineRule="auto"/>
        <w:ind w:left="747" w:right="0"/>
        <w:jc w:val="left"/>
      </w:pPr>
      <w:bookmarkStart w:id="102" w:name="2.纯蒸汽系统日常运行及维护保养方面"/>
      <w:bookmarkEnd w:id="102"/>
      <w:bookmarkStart w:id="103" w:name="_bookmark32"/>
      <w:bookmarkEnd w:id="103"/>
      <w:r>
        <w:t>2.纯蒸汽系统日常运行及维护保养方面</w:t>
      </w:r>
      <w:r>
        <w:rPr>
          <w:w w:val="99"/>
        </w:rPr>
        <w:t xml:space="preserve"> </w:t>
      </w:r>
      <w:r>
        <w:rPr>
          <w:spacing w:val="-4"/>
          <w:w w:val="95"/>
        </w:rPr>
        <w:t>是否明确纯化水或原料水的质量标准，是否根据用途制定纯</w:t>
      </w:r>
    </w:p>
    <w:p w14:paraId="1165BF9F">
      <w:pPr>
        <w:pStyle w:val="2"/>
        <w:spacing w:line="321" w:lineRule="auto"/>
        <w:ind w:right="391"/>
        <w:jc w:val="both"/>
      </w:pPr>
      <w:r>
        <w:rPr>
          <w:spacing w:val="-4"/>
          <w:w w:val="95"/>
        </w:rPr>
        <w:t>蒸汽的质量标准。是否制定纯蒸汽系统管理规程，对纯蒸汽的制</w:t>
      </w:r>
      <w:r>
        <w:rPr>
          <w:spacing w:val="136"/>
          <w:w w:val="95"/>
        </w:rPr>
        <w:t xml:space="preserve"> </w:t>
      </w:r>
      <w:r>
        <w:rPr>
          <w:spacing w:val="-4"/>
          <w:w w:val="95"/>
        </w:rPr>
        <w:t>备、分配及日常监测等内容进行规定；是否有已批准的书面维护</w:t>
      </w:r>
      <w:r>
        <w:rPr>
          <w:spacing w:val="134"/>
          <w:w w:val="95"/>
        </w:rPr>
        <w:t xml:space="preserve"> </w:t>
      </w:r>
      <w:r>
        <w:t>计划、是否进行维护并记录。</w:t>
      </w:r>
    </w:p>
    <w:p w14:paraId="36AE5F05">
      <w:pPr>
        <w:pStyle w:val="2"/>
        <w:spacing w:line="321" w:lineRule="auto"/>
        <w:ind w:left="747" w:right="0"/>
        <w:jc w:val="left"/>
      </w:pPr>
      <w:bookmarkStart w:id="104" w:name="_bookmark33"/>
      <w:bookmarkEnd w:id="104"/>
      <w:bookmarkStart w:id="105" w:name="3.回顾分析"/>
      <w:bookmarkEnd w:id="105"/>
      <w:r>
        <w:t>3.回顾分析</w:t>
      </w:r>
      <w:r>
        <w:rPr>
          <w:w w:val="99"/>
        </w:rPr>
        <w:t xml:space="preserve"> </w:t>
      </w:r>
      <w:r>
        <w:rPr>
          <w:spacing w:val="-4"/>
          <w:w w:val="95"/>
        </w:rPr>
        <w:t>是否每年（或定期）进行一次纯蒸汽系统质量回顾分析（可</w:t>
      </w:r>
    </w:p>
    <w:p w14:paraId="6A961579">
      <w:pPr>
        <w:pStyle w:val="2"/>
        <w:spacing w:line="314" w:lineRule="auto"/>
        <w:ind w:right="391"/>
        <w:jc w:val="both"/>
      </w:pPr>
      <w:r>
        <w:rPr>
          <w:spacing w:val="-4"/>
          <w:w w:val="95"/>
        </w:rPr>
        <w:t xml:space="preserve">基于数据分析调整系统设定的警戒限和纠偏限，必要时可调整相 </w:t>
      </w:r>
      <w:r>
        <w:rPr>
          <w:spacing w:val="134"/>
          <w:w w:val="95"/>
        </w:rPr>
        <w:t xml:space="preserve"> </w:t>
      </w:r>
      <w:r>
        <w:t>关</w:t>
      </w:r>
      <w:r>
        <w:rPr>
          <w:spacing w:val="-9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SOP</w:t>
      </w:r>
      <w:r>
        <w:rPr>
          <w:spacing w:val="-5"/>
        </w:rPr>
        <w:t>），综合性回顾分析内容全面，至少包括系统的变更、系</w:t>
      </w:r>
      <w:r>
        <w:rPr>
          <w:w w:val="99"/>
        </w:rPr>
        <w:t xml:space="preserve"> </w:t>
      </w:r>
      <w:r>
        <w:rPr>
          <w:spacing w:val="-4"/>
          <w:w w:val="95"/>
        </w:rPr>
        <w:t>统的确认状态、系统关键偏差和报警记录、系统日常监测数据结</w:t>
      </w:r>
      <w:r>
        <w:rPr>
          <w:spacing w:val="136"/>
          <w:w w:val="95"/>
        </w:rPr>
        <w:t xml:space="preserve"> </w:t>
      </w:r>
      <w:r>
        <w:t>果、趋势分析等。</w:t>
      </w:r>
    </w:p>
    <w:p w14:paraId="13909669">
      <w:pPr>
        <w:spacing w:before="0" w:line="240" w:lineRule="auto"/>
        <w:rPr>
          <w:rFonts w:ascii="宋体" w:hAnsi="宋体" w:eastAsia="宋体" w:cs="宋体"/>
          <w:sz w:val="32"/>
          <w:szCs w:val="32"/>
        </w:rPr>
      </w:pPr>
    </w:p>
    <w:p w14:paraId="0328A75D">
      <w:pPr>
        <w:spacing w:before="6" w:line="240" w:lineRule="auto"/>
        <w:rPr>
          <w:rFonts w:ascii="宋体" w:hAnsi="宋体" w:eastAsia="宋体" w:cs="宋体"/>
          <w:sz w:val="23"/>
          <w:szCs w:val="23"/>
        </w:rPr>
      </w:pPr>
    </w:p>
    <w:p w14:paraId="2318F655">
      <w:pPr>
        <w:pStyle w:val="2"/>
        <w:spacing w:before="0" w:line="240" w:lineRule="auto"/>
        <w:ind w:left="747" w:right="0"/>
        <w:jc w:val="left"/>
        <w:rPr>
          <w:rFonts w:ascii="黑体" w:hAnsi="黑体" w:eastAsia="黑体" w:cs="黑体"/>
        </w:rPr>
      </w:pPr>
      <w:bookmarkStart w:id="106" w:name="_bookmark34"/>
      <w:bookmarkEnd w:id="106"/>
      <w:bookmarkStart w:id="107" w:name="参考法规、指南和文献"/>
      <w:bookmarkEnd w:id="107"/>
      <w:r>
        <w:rPr>
          <w:rFonts w:ascii="黑体" w:hAnsi="黑体" w:eastAsia="黑体" w:cs="黑体"/>
        </w:rPr>
        <w:t>参考法规、指南和文献</w:t>
      </w:r>
    </w:p>
    <w:p w14:paraId="289A6AAD">
      <w:pPr>
        <w:spacing w:before="11" w:line="240" w:lineRule="auto"/>
        <w:rPr>
          <w:rFonts w:ascii="黑体" w:hAnsi="黑体" w:eastAsia="黑体" w:cs="黑体"/>
          <w:sz w:val="23"/>
          <w:szCs w:val="23"/>
        </w:rPr>
      </w:pPr>
    </w:p>
    <w:p w14:paraId="03C45A9B">
      <w:pPr>
        <w:spacing w:before="0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[1]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WHO.</w:t>
      </w:r>
      <w:r>
        <w:rPr>
          <w:rFonts w:ascii="宋体" w:hAnsi="宋体" w:eastAsia="宋体" w:cs="宋体"/>
          <w:spacing w:val="-8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Good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Manufacturing Practices: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for Pharmaceutical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Use</w:t>
      </w:r>
      <w:r>
        <w:rPr>
          <w:rFonts w:ascii="宋体" w:hAnsi="宋体" w:eastAsia="宋体" w:cs="宋体"/>
          <w:sz w:val="28"/>
          <w:szCs w:val="28"/>
        </w:rPr>
        <w:t>》</w:t>
      </w:r>
    </w:p>
    <w:p w14:paraId="4C97B8BE">
      <w:pPr>
        <w:spacing w:before="133"/>
        <w:ind w:left="106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2021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1878E950">
      <w:pPr>
        <w:spacing w:before="133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[2] EMA.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Guideline on the Quality of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for Pharmaceutical </w:t>
      </w:r>
      <w:r>
        <w:rPr>
          <w:rFonts w:ascii="Times New Roman" w:hAnsi="Times New Roman" w:eastAsia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Use</w:t>
      </w:r>
      <w:r>
        <w:rPr>
          <w:rFonts w:ascii="宋体" w:hAnsi="宋体" w:eastAsia="宋体" w:cs="宋体"/>
          <w:sz w:val="28"/>
          <w:szCs w:val="28"/>
        </w:rPr>
        <w:t>》</w:t>
      </w:r>
    </w:p>
    <w:p w14:paraId="684FAB10">
      <w:pPr>
        <w:spacing w:before="131"/>
        <w:ind w:left="106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2021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24E12141">
      <w:pPr>
        <w:spacing w:before="133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[3] ISPE.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Membrane-Based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for Injection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System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2022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1239E18F">
      <w:pPr>
        <w:spacing w:before="133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[4] ISPE. </w:t>
      </w:r>
      <w:r>
        <w:rPr>
          <w:rFonts w:ascii="宋体" w:hAnsi="宋体" w:eastAsia="宋体" w:cs="宋体"/>
          <w:sz w:val="28"/>
          <w:szCs w:val="28"/>
        </w:rPr>
        <w:t xml:space="preserve">《 </w:t>
      </w:r>
      <w:r>
        <w:rPr>
          <w:rFonts w:ascii="Times New Roman" w:hAnsi="Times New Roman" w:eastAsia="Times New Roman" w:cs="Times New Roman"/>
          <w:sz w:val="28"/>
          <w:szCs w:val="28"/>
        </w:rPr>
        <w:t>WFI Using Non-distillation Methods—the ISPE</w:t>
      </w:r>
      <w:r>
        <w:rPr>
          <w:rFonts w:ascii="Times New Roman" w:hAnsi="Times New Roman" w:eastAsia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D/A/CH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Approach</w:t>
      </w:r>
      <w:r>
        <w:rPr>
          <w:rFonts w:ascii="宋体" w:hAnsi="宋体" w:eastAsia="宋体" w:cs="宋体"/>
          <w:spacing w:val="-3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Webinar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2019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0D05184A">
      <w:pPr>
        <w:spacing w:before="27"/>
        <w:ind w:left="668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[5] WHO.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TRS No.1025 Annex 3: Production of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for Injection</w:t>
      </w:r>
      <w:r>
        <w:rPr>
          <w:rFonts w:ascii="Times New Roman" w:hAnsi="Times New Roman" w:eastAsia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by</w:t>
      </w:r>
    </w:p>
    <w:p w14:paraId="0EE7C7D6">
      <w:pPr>
        <w:spacing w:after="0"/>
        <w:jc w:val="left"/>
        <w:rPr>
          <w:rFonts w:ascii="Times New Roman" w:hAnsi="Times New Roman" w:eastAsia="Times New Roman" w:cs="Times New Roman"/>
          <w:sz w:val="28"/>
          <w:szCs w:val="28"/>
        </w:rPr>
        <w:sectPr>
          <w:pgSz w:w="11910" w:h="16840"/>
          <w:pgMar w:top="1580" w:right="1080" w:bottom="2480" w:left="1480" w:header="0" w:footer="2285" w:gutter="0"/>
          <w:cols w:space="720" w:num="1"/>
        </w:sectPr>
      </w:pPr>
    </w:p>
    <w:p w14:paraId="74A5F226">
      <w:pPr>
        <w:spacing w:before="0" w:line="240" w:lineRule="auto"/>
        <w:rPr>
          <w:rFonts w:ascii="Times New Roman" w:hAnsi="Times New Roman" w:eastAsia="Times New Roman" w:cs="Times New Roman"/>
          <w:sz w:val="20"/>
          <w:szCs w:val="20"/>
        </w:rPr>
      </w:pPr>
    </w:p>
    <w:p w14:paraId="49F68717">
      <w:pPr>
        <w:spacing w:before="11" w:line="240" w:lineRule="auto"/>
        <w:rPr>
          <w:rFonts w:ascii="Times New Roman" w:hAnsi="Times New Roman" w:eastAsia="Times New Roman" w:cs="Times New Roman"/>
          <w:sz w:val="29"/>
          <w:szCs w:val="29"/>
        </w:rPr>
      </w:pPr>
    </w:p>
    <w:p w14:paraId="222B40E5">
      <w:pPr>
        <w:spacing w:before="14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Means other than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Distillation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7119C21D">
      <w:pPr>
        <w:spacing w:before="133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[6]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ISO.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《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Membrane-based Generation of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Water  </w:t>
      </w:r>
      <w:r>
        <w:rPr>
          <w:rFonts w:ascii="Times New Roman" w:hAnsi="Times New Roman" w:eastAsia="Times New Roman" w:cs="Times New Roman"/>
          <w:sz w:val="28"/>
          <w:szCs w:val="28"/>
        </w:rPr>
        <w:t>for Injection</w:t>
      </w:r>
      <w:r>
        <w:rPr>
          <w:rFonts w:ascii="Times New Roman" w:hAnsi="Times New Roman" w:eastAsia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8"/>
          <w:szCs w:val="28"/>
        </w:rPr>
        <w:t>(WFI)</w:t>
      </w:r>
      <w:r>
        <w:rPr>
          <w:rFonts w:ascii="宋体" w:hAnsi="宋体" w:eastAsia="宋体" w:cs="宋体"/>
          <w:spacing w:val="4"/>
          <w:sz w:val="28"/>
          <w:szCs w:val="28"/>
        </w:rPr>
        <w:t>》</w:t>
      </w:r>
    </w:p>
    <w:p w14:paraId="295CA976">
      <w:pPr>
        <w:spacing w:before="133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ISO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22519:2023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5AFFB0B7">
      <w:pPr>
        <w:spacing w:before="131" w:line="321" w:lineRule="auto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[7]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ISPE.</w:t>
      </w:r>
      <w:r>
        <w:rPr>
          <w:rFonts w:ascii="宋体" w:hAnsi="宋体" w:eastAsia="宋体" w:cs="宋体"/>
          <w:spacing w:val="-6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Baseline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Guide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Volume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4: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and Steam</w:t>
      </w:r>
      <w:r>
        <w:rPr>
          <w:rFonts w:ascii="Times New Roman" w:hAnsi="Times New Roman" w:eastAsia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Systems</w:t>
      </w:r>
      <w:r>
        <w:rPr>
          <w:rFonts w:ascii="宋体" w:hAnsi="宋体" w:eastAsia="宋体" w:cs="宋体"/>
          <w:spacing w:val="-11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>2019</w:t>
      </w:r>
      <w:r>
        <w:rPr>
          <w:rFonts w:ascii="宋体" w:hAnsi="宋体" w:eastAsia="宋体" w:cs="宋体"/>
          <w:spacing w:val="-11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[8] PIC/S.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>PI 009-4 Aide-memoire Inspection of</w:t>
      </w:r>
      <w:r>
        <w:rPr>
          <w:rFonts w:ascii="Times New Roman" w:hAnsi="Times New Roman" w:eastAsia="Times New Roman" w:cs="Times New Roman"/>
          <w:spacing w:val="-4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Utilities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2021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7D95E8C4">
      <w:pPr>
        <w:spacing w:before="27" w:line="321" w:lineRule="auto"/>
        <w:ind w:left="668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[9] FDA.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Guide to Inspections of High Purity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>Water</w:t>
      </w:r>
      <w:r>
        <w:rPr>
          <w:rFonts w:ascii="Times New Roman" w:hAnsi="Times New Roman" w:eastAsia="Times New Roman" w:cs="Times New Roman"/>
          <w:spacing w:val="-4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Systems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1993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[10] European  Commission. </w:t>
      </w:r>
      <w:r>
        <w:rPr>
          <w:rFonts w:ascii="宋体" w:hAnsi="宋体" w:eastAsia="宋体" w:cs="宋体"/>
          <w:sz w:val="28"/>
          <w:szCs w:val="28"/>
        </w:rPr>
        <w:t xml:space="preserve">《 </w:t>
      </w:r>
      <w:r>
        <w:rPr>
          <w:rFonts w:ascii="Times New Roman" w:hAnsi="Times New Roman" w:eastAsia="Times New Roman" w:cs="Times New Roman"/>
          <w:sz w:val="28"/>
          <w:szCs w:val="28"/>
        </w:rPr>
        <w:t>GMP Annex  1:  Manufacture  of</w:t>
      </w:r>
      <w:r>
        <w:rPr>
          <w:rFonts w:ascii="Times New Roman" w:hAnsi="Times New Roman" w:eastAsia="Times New Roman" w:cs="Times New Roman"/>
          <w:spacing w:val="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Sterile</w:t>
      </w:r>
    </w:p>
    <w:p w14:paraId="0A54B879">
      <w:pPr>
        <w:spacing w:before="27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Medicinal</w:t>
      </w:r>
      <w:r>
        <w:rPr>
          <w:rFonts w:ascii="Times New Roman" w:hAnsi="Times New Roman" w:eastAsia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Products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2022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217940B1">
      <w:pPr>
        <w:spacing w:before="1" w:line="240" w:lineRule="auto"/>
        <w:rPr>
          <w:rFonts w:ascii="宋体" w:hAnsi="宋体" w:eastAsia="宋体" w:cs="宋体"/>
          <w:sz w:val="9"/>
          <w:szCs w:val="9"/>
        </w:rPr>
      </w:pPr>
    </w:p>
    <w:p w14:paraId="127A4CED">
      <w:pPr>
        <w:spacing w:after="0" w:line="240" w:lineRule="auto"/>
        <w:rPr>
          <w:rFonts w:ascii="宋体" w:hAnsi="宋体" w:eastAsia="宋体" w:cs="宋体"/>
          <w:sz w:val="9"/>
          <w:szCs w:val="9"/>
        </w:rPr>
        <w:sectPr>
          <w:pgSz w:w="11910" w:h="16840"/>
          <w:pgMar w:top="1580" w:right="1220" w:bottom="2480" w:left="1480" w:header="0" w:footer="2285" w:gutter="0"/>
          <w:cols w:space="720" w:num="1"/>
        </w:sectPr>
      </w:pPr>
    </w:p>
    <w:p w14:paraId="608BBBC7">
      <w:pPr>
        <w:spacing w:before="14"/>
        <w:ind w:left="668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[11]</w:t>
      </w:r>
      <w:r>
        <w:rPr>
          <w:rFonts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>ISPE</w:t>
      </w:r>
      <w:r>
        <w:rPr>
          <w:rFonts w:ascii="宋体" w:hAnsi="宋体" w:eastAsia="宋体" w:cs="宋体"/>
          <w:spacing w:val="-48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pacing w:val="-48"/>
          <w:sz w:val="28"/>
          <w:szCs w:val="28"/>
        </w:rPr>
        <w:t>.</w:t>
      </w:r>
    </w:p>
    <w:p w14:paraId="1D86E29C">
      <w:pPr>
        <w:spacing w:before="14"/>
        <w:ind w:left="132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br w:type="column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Baseline Guide 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Volume </w:t>
      </w:r>
      <w:r>
        <w:rPr>
          <w:rFonts w:ascii="Times New Roman" w:hAnsi="Times New Roman" w:eastAsia="Times New Roman" w:cs="Times New Roman"/>
          <w:sz w:val="28"/>
          <w:szCs w:val="28"/>
        </w:rPr>
        <w:t>5: Commissioning and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Qualification</w:t>
      </w:r>
      <w:r>
        <w:rPr>
          <w:rFonts w:ascii="宋体" w:hAnsi="宋体" w:eastAsia="宋体" w:cs="宋体"/>
          <w:sz w:val="28"/>
          <w:szCs w:val="28"/>
        </w:rPr>
        <w:t>》</w:t>
      </w:r>
    </w:p>
    <w:p w14:paraId="7DA31F5D"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1910" w:h="16840"/>
          <w:pgMar w:top="1580" w:right="1220" w:bottom="280" w:left="1480" w:header="720" w:footer="720" w:gutter="0"/>
          <w:cols w:equalWidth="0" w:num="2">
            <w:col w:w="1838" w:space="40"/>
            <w:col w:w="7332"/>
          </w:cols>
        </w:sectPr>
      </w:pPr>
    </w:p>
    <w:p w14:paraId="09E72375">
      <w:pPr>
        <w:spacing w:before="12" w:line="240" w:lineRule="auto"/>
        <w:rPr>
          <w:rFonts w:ascii="宋体" w:hAnsi="宋体" w:eastAsia="宋体" w:cs="宋体"/>
          <w:sz w:val="8"/>
          <w:szCs w:val="8"/>
        </w:rPr>
      </w:pPr>
    </w:p>
    <w:p w14:paraId="34F0C2FE">
      <w:pPr>
        <w:spacing w:before="14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z w:val="28"/>
          <w:szCs w:val="28"/>
        </w:rPr>
        <w:t>Second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edition,2019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6DC016D8">
      <w:pPr>
        <w:spacing w:before="133"/>
        <w:ind w:left="668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[12] ASME.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>Bioprocessing Equipment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ASME</w:t>
      </w:r>
      <w:r>
        <w:rPr>
          <w:rFonts w:ascii="Times New Roman" w:hAnsi="Times New Roman" w:eastAsia="Times New Roman" w:cs="Times New Roman"/>
          <w:spacing w:val="-3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BPE-2024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18C9E042">
      <w:pPr>
        <w:spacing w:before="133" w:line="350" w:lineRule="auto"/>
        <w:ind w:left="106" w:right="250" w:firstLine="561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[13] EMA.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Questions and Answers on Production of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for</w:t>
      </w:r>
      <w:r>
        <w:rPr>
          <w:rFonts w:ascii="Times New Roman" w:hAnsi="Times New Roman" w:eastAsia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injection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by Non-distillation Methods - Reverse Osmosis and Biofilms and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Control</w:t>
      </w:r>
      <w:r>
        <w:rPr>
          <w:rFonts w:ascii="Times New Roman" w:hAnsi="Times New Roman" w:eastAsia="Times New Roman" w:cs="Times New Roman"/>
          <w:w w:val="9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Strategies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2017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5E85D1A1">
      <w:pPr>
        <w:spacing w:before="0" w:line="321" w:lineRule="auto"/>
        <w:ind w:left="668" w:right="1777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[14]</w:t>
      </w:r>
      <w:r>
        <w:rPr>
          <w:rFonts w:ascii="宋体" w:hAnsi="宋体" w:eastAsia="宋体" w:cs="宋体"/>
          <w:sz w:val="28"/>
          <w:szCs w:val="28"/>
        </w:rPr>
        <w:t>《医药工艺用水系统设计规范》（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50913-2013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[15]</w:t>
      </w:r>
      <w:r>
        <w:rPr>
          <w:rFonts w:ascii="宋体" w:hAnsi="宋体" w:eastAsia="宋体" w:cs="宋体"/>
          <w:sz w:val="28"/>
          <w:szCs w:val="28"/>
        </w:rPr>
        <w:t>《药品生产质量管理规范》（</w:t>
      </w:r>
      <w:r>
        <w:rPr>
          <w:rFonts w:ascii="Times New Roman" w:hAnsi="Times New Roman" w:eastAsia="Times New Roman" w:cs="Times New Roman"/>
          <w:sz w:val="28"/>
          <w:szCs w:val="28"/>
        </w:rPr>
        <w:t>2010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年修订）及附录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[16]</w:t>
      </w:r>
      <w:r>
        <w:rPr>
          <w:rFonts w:ascii="宋体" w:hAnsi="宋体" w:eastAsia="宋体" w:cs="宋体"/>
          <w:sz w:val="28"/>
          <w:szCs w:val="28"/>
        </w:rPr>
        <w:t>《中华人民共和国药典》四部（</w:t>
      </w:r>
      <w:r>
        <w:rPr>
          <w:rFonts w:ascii="Times New Roman" w:hAnsi="Times New Roman" w:eastAsia="Times New Roman" w:cs="Times New Roman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-1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年版）</w:t>
      </w:r>
    </w:p>
    <w:p w14:paraId="6E9D8124">
      <w:pPr>
        <w:spacing w:before="27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[17] FDA.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>Current Good Manufacturing Practice for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Finished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Pharmaceuticals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CFR Part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211</w:t>
      </w:r>
      <w:r>
        <w:rPr>
          <w:rFonts w:ascii="宋体" w:hAnsi="宋体" w:eastAsia="宋体" w:cs="宋体"/>
          <w:spacing w:val="-4"/>
          <w:sz w:val="28"/>
          <w:szCs w:val="28"/>
        </w:rPr>
        <w:t>）</w:t>
      </w:r>
    </w:p>
    <w:p w14:paraId="4B45480B">
      <w:pPr>
        <w:spacing w:before="27"/>
        <w:ind w:left="668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[18] ICH.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>Q7</w:t>
      </w:r>
      <w:r>
        <w:rPr>
          <w:rFonts w:ascii="Times New Roman" w:hAnsi="Times New Roman" w:eastAsia="Times New Roman" w:cs="Times New Roman"/>
          <w:spacing w:val="5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原料药的药品生产质量管理规范指南》</w:t>
      </w:r>
    </w:p>
    <w:p w14:paraId="4428674D">
      <w:pPr>
        <w:spacing w:before="133"/>
        <w:ind w:left="668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[19]</w:t>
      </w:r>
      <w:r>
        <w:rPr>
          <w:rFonts w:ascii="宋体" w:hAnsi="宋体" w:eastAsia="宋体" w:cs="宋体"/>
          <w:sz w:val="28"/>
          <w:szCs w:val="28"/>
        </w:rPr>
        <w:t>《生活饮用水卫生标准》（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5749-2022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10C3657C">
      <w:pPr>
        <w:spacing w:before="131"/>
        <w:ind w:left="668" w:right="0" w:firstLine="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[20] </w:t>
      </w:r>
      <w:r>
        <w:rPr>
          <w:rFonts w:ascii="宋体" w:hAnsi="宋体" w:eastAsia="宋体" w:cs="宋体"/>
          <w:sz w:val="28"/>
          <w:szCs w:val="28"/>
        </w:rPr>
        <w:t>国家药品监督管理局食品药品审核查验中心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 </w:t>
      </w:r>
      <w:r>
        <w:rPr>
          <w:rFonts w:ascii="宋体" w:hAnsi="宋体" w:eastAsia="宋体" w:cs="宋体"/>
          <w:sz w:val="28"/>
          <w:szCs w:val="28"/>
        </w:rPr>
        <w:t xml:space="preserve">药品 </w:t>
      </w:r>
      <w:r>
        <w:rPr>
          <w:rFonts w:ascii="Times New Roman" w:hAnsi="Times New Roman" w:eastAsia="Times New Roman" w:cs="Times New Roman"/>
          <w:sz w:val="28"/>
          <w:szCs w:val="28"/>
        </w:rPr>
        <w:t>GMP</w:t>
      </w:r>
      <w:r>
        <w:rPr>
          <w:rFonts w:ascii="Times New Roman" w:hAnsi="Times New Roman" w:eastAsia="Times New Roman" w:cs="Times New Roman"/>
          <w:spacing w:val="-2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指南第</w:t>
      </w:r>
    </w:p>
    <w:p w14:paraId="4282927D">
      <w:pPr>
        <w:spacing w:before="133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版</w:t>
      </w:r>
      <w:r>
        <w:rPr>
          <w:rFonts w:ascii="Times New Roman" w:hAnsi="Times New Roman" w:eastAsia="Times New Roman" w:cs="Times New Roman"/>
          <w:sz w:val="28"/>
          <w:szCs w:val="28"/>
        </w:rPr>
        <w:t>-</w:t>
      </w:r>
      <w:r>
        <w:rPr>
          <w:rFonts w:ascii="宋体" w:hAnsi="宋体" w:eastAsia="宋体" w:cs="宋体"/>
          <w:sz w:val="28"/>
          <w:szCs w:val="28"/>
        </w:rPr>
        <w:t>厂房设施与设备</w:t>
      </w:r>
      <w:r>
        <w:rPr>
          <w:rFonts w:ascii="Times New Roman" w:hAnsi="Times New Roman" w:eastAsia="Times New Roman" w:cs="Times New Roman"/>
          <w:sz w:val="28"/>
          <w:szCs w:val="28"/>
        </w:rPr>
        <w:t>[M].</w:t>
      </w:r>
      <w:r>
        <w:rPr>
          <w:rFonts w:ascii="宋体" w:hAnsi="宋体" w:eastAsia="宋体" w:cs="宋体"/>
          <w:sz w:val="28"/>
          <w:szCs w:val="28"/>
        </w:rPr>
        <w:t>中国医药科技出版社（</w:t>
      </w:r>
      <w:r>
        <w:rPr>
          <w:rFonts w:ascii="Times New Roman" w:hAnsi="Times New Roman" w:eastAsia="Times New Roman" w:cs="Times New Roman"/>
          <w:sz w:val="28"/>
          <w:szCs w:val="28"/>
        </w:rPr>
        <w:t>2023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ascii="宋体" w:hAnsi="宋体" w:eastAsia="宋体" w:cs="宋体"/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月）</w:t>
      </w:r>
    </w:p>
    <w:p w14:paraId="1B66DD3C">
      <w:pPr>
        <w:spacing w:after="0"/>
        <w:jc w:val="left"/>
        <w:rPr>
          <w:rFonts w:ascii="宋体" w:hAnsi="宋体" w:eastAsia="宋体" w:cs="宋体"/>
          <w:sz w:val="28"/>
          <w:szCs w:val="28"/>
        </w:rPr>
        <w:sectPr>
          <w:type w:val="continuous"/>
          <w:pgSz w:w="11910" w:h="16840"/>
          <w:pgMar w:top="1580" w:right="1220" w:bottom="280" w:left="1480" w:header="720" w:footer="720" w:gutter="0"/>
          <w:cols w:space="720" w:num="1"/>
        </w:sectPr>
      </w:pPr>
    </w:p>
    <w:p w14:paraId="57115FC2">
      <w:pPr>
        <w:spacing w:before="0" w:line="240" w:lineRule="auto"/>
        <w:rPr>
          <w:rFonts w:ascii="宋体" w:hAnsi="宋体" w:eastAsia="宋体" w:cs="宋体"/>
          <w:sz w:val="20"/>
          <w:szCs w:val="20"/>
        </w:rPr>
      </w:pPr>
    </w:p>
    <w:p w14:paraId="40FD3999">
      <w:pPr>
        <w:spacing w:before="12" w:line="240" w:lineRule="auto"/>
        <w:rPr>
          <w:rFonts w:ascii="宋体" w:hAnsi="宋体" w:eastAsia="宋体" w:cs="宋体"/>
          <w:sz w:val="23"/>
          <w:szCs w:val="23"/>
        </w:rPr>
      </w:pPr>
    </w:p>
    <w:p w14:paraId="1971B77E">
      <w:pPr>
        <w:spacing w:before="14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[21] ISPE. </w:t>
      </w:r>
      <w:r>
        <w:rPr>
          <w:rFonts w:ascii="宋体" w:hAnsi="宋体" w:eastAsia="宋体" w:cs="宋体"/>
          <w:sz w:val="28"/>
          <w:szCs w:val="28"/>
        </w:rPr>
        <w:t xml:space="preserve">《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Ozone Sanitization of Pharmaceutical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 </w:t>
      </w:r>
      <w:r>
        <w:rPr>
          <w:rFonts w:ascii="Times New Roman" w:hAnsi="Times New Roman" w:eastAsia="Times New Roman" w:cs="Times New Roman"/>
          <w:sz w:val="28"/>
          <w:szCs w:val="28"/>
        </w:rPr>
        <w:t>Storage</w:t>
      </w:r>
      <w:r>
        <w:rPr>
          <w:rFonts w:ascii="Times New Roman" w:hAnsi="Times New Roman" w:eastAsia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and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Distribution Systems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Second</w:t>
      </w:r>
      <w:r>
        <w:rPr>
          <w:rFonts w:ascii="Times New Roman" w:hAnsi="Times New Roman" w:eastAsia="Times New Roman" w:cs="Times New Roman"/>
          <w:spacing w:val="-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Edition,2024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0A052A93">
      <w:pPr>
        <w:spacing w:before="27"/>
        <w:ind w:left="668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[22] </w:t>
      </w:r>
      <w:r>
        <w:rPr>
          <w:rFonts w:ascii="宋体" w:hAnsi="宋体" w:eastAsia="宋体" w:cs="宋体"/>
          <w:sz w:val="28"/>
          <w:szCs w:val="28"/>
        </w:rPr>
        <w:t>张功臣</w:t>
      </w:r>
      <w:r>
        <w:rPr>
          <w:rFonts w:ascii="Times New Roman" w:hAnsi="Times New Roman" w:eastAsia="Times New Roman" w:cs="Times New Roman"/>
          <w:sz w:val="28"/>
          <w:szCs w:val="28"/>
        </w:rPr>
        <w:t>.</w:t>
      </w:r>
      <w:r>
        <w:rPr>
          <w:rFonts w:ascii="宋体" w:hAnsi="宋体" w:eastAsia="宋体" w:cs="宋体"/>
          <w:sz w:val="28"/>
          <w:szCs w:val="28"/>
        </w:rPr>
        <w:t>制药用水</w:t>
      </w:r>
      <w:r>
        <w:rPr>
          <w:rFonts w:ascii="Times New Roman" w:hAnsi="Times New Roman" w:eastAsia="Times New Roman" w:cs="Times New Roman"/>
          <w:sz w:val="28"/>
          <w:szCs w:val="28"/>
        </w:rPr>
        <w:t>[M].</w:t>
      </w:r>
      <w:r>
        <w:rPr>
          <w:rFonts w:ascii="宋体" w:hAnsi="宋体" w:eastAsia="宋体" w:cs="宋体"/>
          <w:sz w:val="28"/>
          <w:szCs w:val="28"/>
        </w:rPr>
        <w:t>化学工业出版社（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2021 </w:t>
      </w:r>
      <w:r>
        <w:rPr>
          <w:rFonts w:ascii="宋体" w:hAnsi="宋体" w:eastAsia="宋体" w:cs="宋体"/>
          <w:sz w:val="28"/>
          <w:szCs w:val="28"/>
        </w:rPr>
        <w:t xml:space="preserve">年 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>11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月）</w:t>
      </w:r>
    </w:p>
    <w:p w14:paraId="1384744A">
      <w:pPr>
        <w:spacing w:before="131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[23] ISPE. </w:t>
      </w:r>
      <w:r>
        <w:rPr>
          <w:rFonts w:ascii="宋体" w:hAnsi="宋体" w:eastAsia="宋体" w:cs="宋体"/>
          <w:sz w:val="28"/>
          <w:szCs w:val="28"/>
        </w:rPr>
        <w:t xml:space="preserve">《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Sampling for Pharmaceutical 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Water, </w:t>
      </w:r>
      <w:r>
        <w:rPr>
          <w:rFonts w:ascii="Times New Roman" w:hAnsi="Times New Roman" w:eastAsia="Times New Roman" w:cs="Times New Roman"/>
          <w:sz w:val="28"/>
          <w:szCs w:val="28"/>
        </w:rPr>
        <w:t>Steam, and</w:t>
      </w:r>
      <w:r>
        <w:rPr>
          <w:rFonts w:ascii="Times New Roman" w:hAnsi="Times New Roman" w:eastAsia="Times New Roman" w:cs="Times New Roman"/>
          <w:spacing w:val="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Process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Gases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2016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62B9B5B5">
      <w:pPr>
        <w:spacing w:before="27" w:line="321" w:lineRule="auto"/>
        <w:ind w:left="106" w:right="112" w:firstLine="56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[24]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郑光辉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5"/>
          <w:sz w:val="28"/>
          <w:szCs w:val="28"/>
        </w:rPr>
        <w:t>注射用水和纯蒸汽系统红锈的形成原因及处理方法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[J].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机电信息</w:t>
      </w:r>
      <w:r>
        <w:rPr>
          <w:rFonts w:ascii="Times New Roman" w:hAnsi="Times New Roman" w:eastAsia="Times New Roman" w:cs="Times New Roman"/>
          <w:sz w:val="28"/>
          <w:szCs w:val="28"/>
        </w:rPr>
        <w:t>,2015(35):25-27+51.</w:t>
      </w:r>
    </w:p>
    <w:p w14:paraId="0CE2D516">
      <w:pPr>
        <w:spacing w:before="27" w:line="321" w:lineRule="auto"/>
        <w:ind w:left="106" w:right="111" w:firstLine="56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[25]</w:t>
      </w:r>
      <w:r>
        <w:rPr>
          <w:rFonts w:ascii="Times New Roman" w:hAnsi="Times New Roman" w:eastAsia="Times New Roman" w:cs="Times New Roman"/>
          <w:spacing w:val="39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侯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佳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于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恒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宾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>,</w:t>
      </w:r>
      <w:r>
        <w:rPr>
          <w:rFonts w:ascii="Times New Roman" w:hAnsi="Times New Roman" w:eastAsia="Times New Roman" w:cs="Times New Roman"/>
          <w:spacing w:val="-3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智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晓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日</w:t>
      </w:r>
      <w:r>
        <w:rPr>
          <w:rFonts w:ascii="Times New Roman" w:hAnsi="Times New Roman" w:eastAsia="Times New Roman" w:cs="Times New Roman"/>
          <w:spacing w:val="16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制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药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用纯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蒸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汽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6"/>
          <w:sz w:val="28"/>
          <w:szCs w:val="28"/>
        </w:rPr>
        <w:t>质量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的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测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试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[J].</w:t>
      </w:r>
      <w:r>
        <w:rPr>
          <w:rFonts w:ascii="Times New Roman" w:hAnsi="Times New Roman" w:eastAsia="Times New Roman" w:cs="Times New Roman"/>
          <w:spacing w:val="-3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机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电</w:t>
      </w:r>
      <w:r>
        <w:rPr>
          <w:rFonts w:ascii="宋体" w:hAnsi="宋体" w:eastAsia="宋体" w:cs="宋体"/>
          <w:spacing w:val="-105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信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息</w:t>
      </w:r>
      <w:r>
        <w:rPr>
          <w:rFonts w:ascii="Times New Roman" w:hAnsi="Times New Roman" w:eastAsia="Times New Roman" w:cs="Times New Roman"/>
          <w:sz w:val="28"/>
          <w:szCs w:val="28"/>
        </w:rPr>
        <w:t>,2016(23):20-24</w:t>
      </w:r>
    </w:p>
    <w:p w14:paraId="68662732">
      <w:pPr>
        <w:spacing w:before="25" w:line="321" w:lineRule="auto"/>
        <w:ind w:left="106" w:right="111" w:firstLine="561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[26]</w:t>
      </w:r>
      <w:r>
        <w:rPr>
          <w:rFonts w:ascii="Times New Roman" w:hAnsi="Times New Roman" w:eastAsia="Times New Roman" w:cs="Times New Roman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王冠夺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.</w:t>
      </w:r>
      <w:r>
        <w:rPr>
          <w:rFonts w:ascii="宋体" w:hAnsi="宋体" w:eastAsia="宋体" w:cs="宋体"/>
          <w:spacing w:val="5"/>
          <w:sz w:val="28"/>
          <w:szCs w:val="28"/>
        </w:rPr>
        <w:t>制药用水储存及分配系统的消毒与灭菌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>[J].</w:t>
      </w:r>
      <w:r>
        <w:rPr>
          <w:rFonts w:ascii="宋体" w:hAnsi="宋体" w:eastAsia="宋体" w:cs="宋体"/>
          <w:spacing w:val="5"/>
          <w:sz w:val="28"/>
          <w:szCs w:val="28"/>
        </w:rPr>
        <w:t>中国新技术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新产品</w:t>
      </w:r>
      <w:r>
        <w:rPr>
          <w:rFonts w:ascii="Times New Roman" w:hAnsi="Times New Roman" w:eastAsia="Times New Roman" w:cs="Times New Roman"/>
          <w:sz w:val="28"/>
          <w:szCs w:val="28"/>
        </w:rPr>
        <w:t>,2019(20):79-80</w:t>
      </w:r>
    </w:p>
    <w:p w14:paraId="36F374DA">
      <w:pPr>
        <w:spacing w:after="0" w:line="321" w:lineRule="auto"/>
        <w:jc w:val="left"/>
        <w:rPr>
          <w:rFonts w:ascii="Times New Roman" w:hAnsi="Times New Roman" w:eastAsia="Times New Roman" w:cs="Times New Roman"/>
          <w:sz w:val="28"/>
          <w:szCs w:val="28"/>
        </w:rPr>
        <w:sectPr>
          <w:footerReference r:id="rId11" w:type="default"/>
          <w:pgSz w:w="11910" w:h="16840"/>
          <w:pgMar w:top="1580" w:right="1360" w:bottom="2480" w:left="1480" w:header="0" w:footer="2285" w:gutter="0"/>
          <w:pgNumType w:start="43"/>
          <w:cols w:space="720" w:num="1"/>
        </w:sectPr>
      </w:pPr>
    </w:p>
    <w:p w14:paraId="4B7EC35F">
      <w:pPr>
        <w:spacing w:before="27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[27] British Standards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Institution</w:t>
      </w:r>
      <w:r>
        <w:rPr>
          <w:rFonts w:ascii="宋体" w:hAnsi="宋体" w:eastAsia="宋体" w:cs="宋体"/>
          <w:spacing w:val="-23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pacing w:val="-23"/>
          <w:sz w:val="28"/>
          <w:szCs w:val="28"/>
        </w:rPr>
        <w:t>.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sterilizers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BS EN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285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143C9509">
      <w:pPr>
        <w:spacing w:before="91"/>
        <w:ind w:left="106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br w:type="column"/>
      </w:r>
      <w:r>
        <w:rPr>
          <w:rFonts w:ascii="Times New Roman"/>
          <w:sz w:val="28"/>
        </w:rPr>
        <w:t>Sterilization - Steam sterilizers -</w:t>
      </w:r>
      <w:r>
        <w:rPr>
          <w:rFonts w:ascii="Times New Roman"/>
          <w:spacing w:val="-20"/>
          <w:sz w:val="28"/>
        </w:rPr>
        <w:t xml:space="preserve"> </w:t>
      </w:r>
      <w:r>
        <w:rPr>
          <w:rFonts w:ascii="Times New Roman"/>
          <w:sz w:val="28"/>
        </w:rPr>
        <w:t>Large</w:t>
      </w:r>
    </w:p>
    <w:p w14:paraId="395D3A10">
      <w:pPr>
        <w:spacing w:after="0"/>
        <w:jc w:val="left"/>
        <w:rPr>
          <w:rFonts w:ascii="Times New Roman" w:hAnsi="Times New Roman" w:eastAsia="Times New Roman" w:cs="Times New Roman"/>
          <w:sz w:val="28"/>
          <w:szCs w:val="28"/>
        </w:rPr>
        <w:sectPr>
          <w:type w:val="continuous"/>
          <w:pgSz w:w="11910" w:h="16840"/>
          <w:pgMar w:top="1580" w:right="1360" w:bottom="280" w:left="1480" w:header="720" w:footer="720" w:gutter="0"/>
          <w:cols w:equalWidth="0" w:num="2">
            <w:col w:w="4432" w:space="70"/>
            <w:col w:w="4568"/>
          </w:cols>
        </w:sectPr>
      </w:pPr>
    </w:p>
    <w:p w14:paraId="64E99BDC">
      <w:pPr>
        <w:spacing w:before="27" w:line="321" w:lineRule="auto"/>
        <w:ind w:left="106" w:right="0" w:firstLine="561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[28] ASTM.</w:t>
      </w:r>
      <w:r>
        <w:rPr>
          <w:rFonts w:ascii="宋体" w:hAnsi="宋体" w:eastAsia="宋体" w:cs="宋体"/>
          <w:sz w:val="28"/>
          <w:szCs w:val="28"/>
        </w:rPr>
        <w:t>《</w:t>
      </w:r>
      <w:r>
        <w:rPr>
          <w:rFonts w:ascii="Times New Roman" w:hAnsi="Times New Roman" w:eastAsia="Times New Roman" w:cs="Times New Roman"/>
          <w:sz w:val="28"/>
          <w:szCs w:val="28"/>
        </w:rPr>
        <w:t>Standard Practice for Cleaning, Descaling, and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Passivation</w:t>
      </w:r>
      <w:r>
        <w:rPr>
          <w:rFonts w:ascii="Times New Roman" w:hAnsi="Times New Roman" w:eastAsia="Times New Roman" w:cs="Times New Roman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of Stainless Steel Parts, Equipment, and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Systems</w:t>
      </w:r>
      <w:r>
        <w:rPr>
          <w:rFonts w:ascii="宋体" w:hAnsi="宋体" w:eastAsia="宋体" w:cs="宋体"/>
          <w:sz w:val="28"/>
          <w:szCs w:val="28"/>
        </w:rPr>
        <w:t>》（</w:t>
      </w:r>
      <w:r>
        <w:rPr>
          <w:rFonts w:ascii="Times New Roman" w:hAnsi="Times New Roman" w:eastAsia="Times New Roman" w:cs="Times New Roman"/>
          <w:sz w:val="28"/>
          <w:szCs w:val="28"/>
        </w:rPr>
        <w:t>ASTM_A380-2006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0B75A995">
      <w:pPr>
        <w:spacing w:before="25" w:line="321" w:lineRule="auto"/>
        <w:ind w:left="668" w:right="0" w:firstLine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[29]</w:t>
      </w:r>
      <w:r>
        <w:rPr>
          <w:rFonts w:ascii="宋体" w:hAnsi="宋体" w:eastAsia="宋体" w:cs="宋体"/>
          <w:sz w:val="28"/>
          <w:szCs w:val="28"/>
        </w:rPr>
        <w:t>《纯蒸汽发生器》（</w:t>
      </w:r>
      <w:r>
        <w:rPr>
          <w:rFonts w:ascii="Times New Roman" w:hAnsi="Times New Roman" w:eastAsia="Times New Roman" w:cs="Times New Roman"/>
          <w:sz w:val="28"/>
          <w:szCs w:val="28"/>
        </w:rPr>
        <w:t>JB/T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20031-2016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[30]</w:t>
      </w:r>
      <w:r>
        <w:rPr>
          <w:rFonts w:ascii="宋体" w:hAnsi="宋体" w:eastAsia="宋体" w:cs="宋体"/>
          <w:sz w:val="28"/>
          <w:szCs w:val="28"/>
        </w:rPr>
        <w:t>《不锈钢酸洗与钝化规范》（</w:t>
      </w:r>
      <w:r>
        <w:rPr>
          <w:rFonts w:ascii="Times New Roman" w:hAnsi="Times New Roman" w:eastAsia="Times New Roman" w:cs="Times New Roman"/>
          <w:sz w:val="28"/>
          <w:szCs w:val="28"/>
        </w:rPr>
        <w:t>SJ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20893-2003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[31]</w:t>
      </w:r>
      <w:r>
        <w:rPr>
          <w:rFonts w:ascii="宋体" w:hAnsi="宋体" w:eastAsia="宋体" w:cs="宋体"/>
          <w:sz w:val="28"/>
          <w:szCs w:val="28"/>
        </w:rPr>
        <w:t>《电子级水》（</w:t>
      </w:r>
      <w:r>
        <w:rPr>
          <w:rFonts w:ascii="Times New Roman" w:hAnsi="Times New Roman" w:eastAsia="Times New Roman" w:cs="Times New Roman"/>
          <w:sz w:val="28"/>
          <w:szCs w:val="28"/>
        </w:rPr>
        <w:t>GB/T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11446.1-2013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[32]</w:t>
      </w:r>
      <w:r>
        <w:rPr>
          <w:rFonts w:ascii="宋体" w:hAnsi="宋体" w:eastAsia="宋体" w:cs="宋体"/>
          <w:sz w:val="28"/>
          <w:szCs w:val="28"/>
        </w:rPr>
        <w:t>《反渗透系统膜元件清洗技术规范》（</w:t>
      </w:r>
      <w:r>
        <w:rPr>
          <w:rFonts w:ascii="Times New Roman" w:hAnsi="Times New Roman" w:eastAsia="Times New Roman" w:cs="Times New Roman"/>
          <w:sz w:val="28"/>
          <w:szCs w:val="28"/>
        </w:rPr>
        <w:t>GB/T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23954-2009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[33]</w:t>
      </w:r>
      <w:r>
        <w:rPr>
          <w:rFonts w:ascii="宋体" w:hAnsi="宋体" w:eastAsia="宋体" w:cs="宋体"/>
          <w:sz w:val="28"/>
          <w:szCs w:val="28"/>
        </w:rPr>
        <w:t>《电去离子纯水制备装置》（</w:t>
      </w:r>
      <w:r>
        <w:rPr>
          <w:rFonts w:ascii="Times New Roman" w:hAnsi="Times New Roman" w:eastAsia="Times New Roman" w:cs="Times New Roman"/>
          <w:sz w:val="28"/>
          <w:szCs w:val="28"/>
        </w:rPr>
        <w:t>HG/T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3982-2007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[34]</w:t>
      </w:r>
      <w:r>
        <w:rPr>
          <w:rFonts w:ascii="宋体" w:hAnsi="宋体" w:eastAsia="宋体" w:cs="宋体"/>
          <w:sz w:val="28"/>
          <w:szCs w:val="28"/>
        </w:rPr>
        <w:t>《医药工业洁净厂房设计标准》（</w:t>
      </w:r>
      <w:r>
        <w:rPr>
          <w:rFonts w:ascii="Times New Roman" w:hAnsi="Times New Roman" w:eastAsia="Times New Roman" w:cs="Times New Roman"/>
          <w:sz w:val="28"/>
          <w:szCs w:val="28"/>
        </w:rPr>
        <w:t>GB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50457-2019</w:t>
      </w:r>
      <w:r>
        <w:rPr>
          <w:rFonts w:ascii="宋体" w:hAnsi="宋体" w:eastAsia="宋体" w:cs="宋体"/>
          <w:sz w:val="28"/>
          <w:szCs w:val="28"/>
        </w:rPr>
        <w:t>）</w:t>
      </w:r>
      <w:r>
        <w:rPr>
          <w:rFonts w:ascii="宋体" w:hAnsi="宋体" w:eastAsia="宋体" w:cs="宋体"/>
          <w:w w:val="1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[35]</w:t>
      </w:r>
      <w:r>
        <w:rPr>
          <w:rFonts w:ascii="宋体" w:hAnsi="宋体" w:eastAsia="宋体" w:cs="宋体"/>
          <w:spacing w:val="2"/>
          <w:sz w:val="28"/>
          <w:szCs w:val="28"/>
        </w:rPr>
        <w:t>《制药机械（设备）实施药品生产质量管理规范的通则》（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GB</w:t>
      </w:r>
    </w:p>
    <w:p w14:paraId="789EF3B9">
      <w:pPr>
        <w:spacing w:before="27"/>
        <w:ind w:left="106" w:right="0" w:firstLine="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28670-2012</w:t>
      </w:r>
      <w:r>
        <w:rPr>
          <w:rFonts w:ascii="宋体" w:hAnsi="宋体" w:eastAsia="宋体" w:cs="宋体"/>
          <w:sz w:val="28"/>
          <w:szCs w:val="28"/>
        </w:rPr>
        <w:t>）</w:t>
      </w:r>
    </w:p>
    <w:p w14:paraId="42EFDA98">
      <w:bookmarkStart w:id="108" w:name="_GoBack"/>
      <w:bookmarkEnd w:id="108"/>
    </w:p>
    <w:sectPr>
      <w:type w:val="continuous"/>
      <w:pgSz w:w="11910" w:h="16840"/>
      <w:pgMar w:top="1580" w:right="136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Noto Sans SC Medium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4A442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3769360</wp:posOffset>
              </wp:positionH>
              <wp:positionV relativeFrom="page">
                <wp:posOffset>9101455</wp:posOffset>
              </wp:positionV>
              <wp:extent cx="92075" cy="15811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0C3F55">
                          <w:pPr>
                            <w:spacing w:before="0" w:line="229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6.8pt;margin-top:716.65pt;height:12.45pt;width:7.25pt;mso-position-horizontal-relative:page;mso-position-vertical-relative:page;z-index:-251657216;mso-width-relative:page;mso-height-relative:page;" filled="f" stroked="f" coordsize="21600,21600" o:gfxdata="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LeTQetsAAAANAQAADwAAAAAAAAABACAAAAAiAAAAZHJzL2Rvd25yZXYueG1sUEsB&#10;AhQAFAAAAAgAh07iQCe3Vfu5AQAAcA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50C3F55">
                    <w:pPr>
                      <w:spacing w:before="0" w:line="229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/>
                        <w:w w:val="99"/>
                        <w:sz w:val="21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23095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3756660</wp:posOffset>
              </wp:positionH>
              <wp:positionV relativeFrom="page">
                <wp:posOffset>9101455</wp:posOffset>
              </wp:positionV>
              <wp:extent cx="117475" cy="1581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47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C6E3C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5.8pt;margin-top:716.65pt;height:12.45pt;width:9.25pt;mso-position-horizontal-relative:page;mso-position-vertical-relative:page;z-index:-251657216;mso-width-relative:page;mso-height-relative:page;" filled="f" stroked="f" coordsize="21600,21600" o:gfxdata="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mkqAidsAAAANAQAADwAAAAAAAAABACAAAAAiAAAAZHJzL2Rvd25yZXYueG1sUEsB&#10;AhQAFAAAAAgAh07iQOUoFdG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1BC6E3C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B3841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9101455</wp:posOffset>
              </wp:positionV>
              <wp:extent cx="184785" cy="1581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CBDED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margin-top:716.65pt;height:12.4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UY19tsAAAANAQAADwAAAAAAAAABACAAAAAiAAAAZHJzL2Rvd25yZXYueG1sUEsB&#10;AhQAFAAAAAgAh07iQIPNlzC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22CBDED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73207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9101455</wp:posOffset>
              </wp:positionV>
              <wp:extent cx="184785" cy="15811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15CD7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margin-top:716.65pt;height:12.4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FGNfbbAAAADQEAAA8AAAAAAAAAAQAgAAAAIgAAAGRycy9kb3ducmV2LnhtbFBL&#10;AQIUABQAAAAIAIdO4kCUAKPR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73015CD7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3D216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9101455</wp:posOffset>
              </wp:positionV>
              <wp:extent cx="184785" cy="158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F1BB53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margin-top:716.65pt;height:12.4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NFGNfbbAAAADQEAAA8AAAAAAAAAAQAgAAAAIgAAAGRycy9kb3ducmV2LnhtbFBL&#10;AQIUABQAAAAIAIdO4kA/5YFMugEAAHEDAAAOAAAAAAAAAAEAIAAAACoBAABkcnMvZTJvRG9jLnht&#10;bFBLBQYAAAAABgAGAFkBAABWBQAAAAA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CF1BB53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EEA50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9101455</wp:posOffset>
              </wp:positionV>
              <wp:extent cx="184785" cy="1581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83B938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margin-top:716.65pt;height:12.4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UY19tsAAAANAQAADwAAAAAAAAABACAAAAAiAAAAZHJzL2Rvd25yZXYueG1sUEsB&#10;AhQAFAAAAAgAh07iQGHxinK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0183B938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EF6596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3723640</wp:posOffset>
              </wp:positionH>
              <wp:positionV relativeFrom="page">
                <wp:posOffset>9101455</wp:posOffset>
              </wp:positionV>
              <wp:extent cx="184785" cy="1581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78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4EB047">
                          <w:pPr>
                            <w:spacing w:before="0" w:line="229" w:lineRule="exact"/>
                            <w:ind w:left="40" w:right="0" w:firstLine="0"/>
                            <w:jc w:val="left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宋体"/>
                              <w:w w:val="99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93.2pt;margin-top:716.65pt;height:12.45pt;width:14.55pt;mso-position-horizontal-relative:page;mso-position-vertical-relative:page;z-index:-251657216;mso-width-relative:page;mso-height-relative:page;" filled="f" stroked="f" coordsize="21600,21600" o:gfxdata="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0UY19tsAAAANAQAADwAAAAAAAAABACAAAAAiAAAAZHJzL2Rvd25yZXYueG1sUEsB&#10;AhQAFAAAAAgAh07iQN3ZnA65AQAAcQMAAA4AAAAAAAAAAQAgAAAAKgEAAGRycy9lMm9Eb2MueG1s&#10;UEsFBgAAAAAGAAYAWQEAAFUFAAAAAA==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5B4EB047">
                    <w:pPr>
                      <w:spacing w:before="0" w:line="229" w:lineRule="exact"/>
                      <w:ind w:left="40" w:right="0" w:firstLine="0"/>
                      <w:jc w:val="left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fldChar w:fldCharType="begin"/>
                    </w:r>
                    <w:r>
                      <w:rPr>
                        <w:rFonts w:ascii="宋体"/>
                        <w:w w:val="99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7C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31"/>
      <w:ind w:left="106"/>
    </w:pPr>
    <w:rPr>
      <w:rFonts w:ascii="宋体" w:hAnsi="宋体" w:eastAsia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2026-04-09T03:25:32Z</dcterms:created>
  <dc:creator>杭州泓友</dc:creator>
  <cp:lastModifiedBy>WPS_1715310677</cp:lastModifiedBy>
  <dcterms:modified xsi:type="dcterms:W3CDTF">2026-04-09T03:25:42Z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eyJoZGlkIjoiMjBkNDcwYWRmZGNjNzI3MWUwMGRkYzlhNjdmZjllYTkiLCJ1c2VySWQiOiIxNTk4Mzk4NzA0In0=</vt:lpwstr>
  </property>
  <property fmtid="{D5CDD505-2E9C-101B-9397-08002B2CF9AE}" pid="4" name="ICV">
    <vt:lpwstr>99BC9D1420F7491B90344E05B97EF54F_12</vt:lpwstr>
  </property>
</Properties>
</file>